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document.xml" ContentType="application/vnd.openxmlformats-officedocument.wordprocessingml.document.main+xml"/>
  <Override PartName="/word/media/image2.png" ContentType="image/png"/>
  <Override PartName="/word/media/image1.png" ContentType="image/png"/>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pPr>
      <w:r>
        <w:rPr/>
        <w:drawing>
          <wp:inline distT="0" distB="0" distL="0" distR="0">
            <wp:extent cx="850900" cy="88138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850900" cy="881380"/>
                    </a:xfrm>
                    <a:prstGeom prst="rect">
                      <a:avLst/>
                    </a:prstGeom>
                  </pic:spPr>
                </pic:pic>
              </a:graphicData>
            </a:graphic>
          </wp:inline>
        </w:drawing>
      </w:r>
    </w:p>
    <w:p>
      <w:pPr>
        <w:pStyle w:val="Normal"/>
        <w:jc w:val="center"/>
        <w:rPr/>
      </w:pPr>
      <w:r>
        <w:rPr>
          <w:rFonts w:cs="Arial" w:ascii="Calibri" w:hAnsi="Calibri"/>
          <w:b/>
          <w:bCs/>
          <w:color w:val="auto"/>
          <w:sz w:val="20"/>
          <w:szCs w:val="20"/>
        </w:rPr>
        <w:t>MINISTÉRIO DA DEFESA</w:t>
      </w:r>
    </w:p>
    <w:p>
      <w:pPr>
        <w:pStyle w:val="Normal"/>
        <w:jc w:val="center"/>
        <w:rPr/>
      </w:pPr>
      <w:r>
        <w:rPr>
          <w:rFonts w:cs="Arial" w:ascii="Calibri" w:hAnsi="Calibri"/>
          <w:b/>
          <w:bCs/>
          <w:color w:val="auto"/>
          <w:sz w:val="20"/>
          <w:szCs w:val="20"/>
        </w:rPr>
        <w:t>EXÉRCITO BRASILEIRO</w:t>
      </w:r>
    </w:p>
    <w:p>
      <w:pPr>
        <w:pStyle w:val="Normal"/>
        <w:jc w:val="center"/>
        <w:rPr/>
      </w:pPr>
      <w:r>
        <w:rPr>
          <w:rFonts w:cs="Arial" w:ascii="Calibri" w:hAnsi="Calibri"/>
          <w:b/>
          <w:bCs/>
          <w:color w:val="auto"/>
          <w:sz w:val="20"/>
          <w:szCs w:val="20"/>
        </w:rPr>
        <w:t>13º REGIMENTO DE CAVALARIA MECANIZADO</w:t>
      </w:r>
    </w:p>
    <w:p>
      <w:pPr>
        <w:pStyle w:val="Normal"/>
        <w:jc w:val="center"/>
        <w:rPr/>
      </w:pPr>
      <w:r>
        <w:rPr>
          <w:rFonts w:cs="Arial" w:ascii="Calibri" w:hAnsi="Calibri"/>
          <w:b/>
          <w:bCs/>
          <w:color w:val="auto"/>
          <w:sz w:val="20"/>
          <w:szCs w:val="20"/>
        </w:rPr>
        <w:t>(2º BCC/1945)</w:t>
      </w:r>
    </w:p>
    <w:p>
      <w:pPr>
        <w:pStyle w:val="Normal"/>
        <w:spacing w:lineRule="auto" w:line="276"/>
        <w:jc w:val="center"/>
        <w:rPr>
          <w:i w:val="false"/>
          <w:i w:val="false"/>
          <w:iCs w:val="false"/>
        </w:rPr>
      </w:pPr>
      <w:r>
        <w:rPr>
          <w:rFonts w:cs="Arial" w:ascii="Calibri" w:hAnsi="Calibri"/>
          <w:b/>
          <w:bCs/>
          <w:i w:val="false"/>
          <w:iCs w:val="false"/>
          <w:color w:val="auto"/>
          <w:sz w:val="20"/>
          <w:szCs w:val="20"/>
        </w:rPr>
        <w:t>(REGIMENTO ANHANGUERA)</w:t>
      </w:r>
    </w:p>
    <w:p>
      <w:pPr>
        <w:pStyle w:val="Normal"/>
        <w:spacing w:lineRule="auto" w:line="276"/>
        <w:jc w:val="center"/>
        <w:rPr>
          <w:rFonts w:ascii="Calibri" w:hAnsi="Calibri" w:cs="Arial"/>
          <w:b/>
          <w:b/>
          <w:bCs/>
          <w:i/>
          <w:i/>
          <w:iCs/>
          <w:color w:val="auto"/>
          <w:sz w:val="20"/>
          <w:szCs w:val="20"/>
        </w:rPr>
      </w:pPr>
      <w:r>
        <w:rPr>
          <w:rFonts w:cs="Arial" w:ascii="Calibri" w:hAnsi="Calibri"/>
          <w:b/>
          <w:bCs/>
          <w:i/>
          <w:iCs/>
          <w:color w:val="auto"/>
          <w:sz w:val="20"/>
          <w:szCs w:val="20"/>
        </w:rPr>
      </w:r>
    </w:p>
    <w:p>
      <w:pPr>
        <w:pStyle w:val="Normal"/>
        <w:spacing w:lineRule="auto" w:line="276"/>
        <w:jc w:val="center"/>
        <w:rPr/>
      </w:pPr>
      <w:r>
        <w:rPr>
          <w:rFonts w:cs="Arial" w:ascii="Calibri" w:hAnsi="Calibri"/>
          <w:b/>
          <w:bCs/>
          <w:color w:val="000000" w:themeColor="text1"/>
          <w:sz w:val="20"/>
          <w:szCs w:val="20"/>
        </w:rPr>
        <w:t>AVISO DE DISPENSA ELETRÔNICA Nº 133/2021</w:t>
      </w:r>
    </w:p>
    <w:p>
      <w:pPr>
        <w:pStyle w:val="Normal"/>
        <w:spacing w:lineRule="auto" w:line="276" w:before="0" w:after="120"/>
        <w:ind w:right="-15" w:hanging="0"/>
        <w:jc w:val="center"/>
        <w:rPr/>
      </w:pPr>
      <w:bookmarkStart w:id="0" w:name="__DdeLink__14823_2663609883"/>
      <w:r>
        <w:rPr>
          <w:rFonts w:cs="Arial" w:ascii="Calibri" w:hAnsi="Calibri"/>
          <w:b/>
          <w:bCs/>
          <w:color w:val="000000" w:themeColor="text1"/>
          <w:sz w:val="20"/>
          <w:szCs w:val="20"/>
        </w:rPr>
        <w:t>(Processo Administrativo n.° 64682.014114/2021-21)</w:t>
      </w:r>
      <w:bookmarkEnd w:id="0"/>
    </w:p>
    <w:p>
      <w:pPr>
        <w:pStyle w:val="Normal"/>
        <w:rPr>
          <w:rFonts w:ascii="Calibri" w:hAnsi="Calibri" w:cs="Arial"/>
          <w:sz w:val="20"/>
          <w:szCs w:val="20"/>
        </w:rPr>
      </w:pPr>
      <w:r>
        <w:rPr>
          <w:rFonts w:cs="Arial" w:ascii="Calibri" w:hAnsi="Calibri"/>
          <w:sz w:val="20"/>
          <w:szCs w:val="20"/>
        </w:rPr>
      </w:r>
    </w:p>
    <w:p>
      <w:pPr>
        <w:pStyle w:val="Normal"/>
        <w:snapToGrid w:val="false"/>
        <w:spacing w:lineRule="auto" w:line="276" w:before="0" w:after="120"/>
        <w:ind w:right="-30" w:firstLine="540"/>
        <w:jc w:val="both"/>
        <w:rPr/>
      </w:pPr>
      <w:r>
        <w:rPr>
          <w:rFonts w:cs="Arial" w:ascii="Calibri" w:hAnsi="Calibri"/>
          <w:color w:val="000000" w:themeColor="text1"/>
          <w:sz w:val="20"/>
          <w:szCs w:val="20"/>
        </w:rPr>
        <w:t>Torna-se público que o 13º Regimento de Cavalaria Mecanizado, por meio do(a)</w:t>
      </w:r>
      <w:r>
        <w:rPr>
          <w:rFonts w:eastAsia="Arial" w:cs="Arial" w:ascii="Calibri" w:hAnsi="Calibri"/>
          <w:color w:val="000000" w:themeColor="text1"/>
          <w:sz w:val="20"/>
          <w:szCs w:val="20"/>
        </w:rPr>
        <w:t xml:space="preserve"> Seção de Aquisições Licita</w:t>
      </w:r>
      <w:r>
        <w:rPr>
          <w:rFonts w:eastAsia="Arial" w:cs="Arial" w:ascii="Calibri" w:hAnsi="Calibri"/>
          <w:color w:val="auto"/>
          <w:sz w:val="20"/>
          <w:szCs w:val="20"/>
        </w:rPr>
        <w:t>ções e Contratos</w:t>
      </w:r>
      <w:r>
        <w:rPr>
          <w:rFonts w:cs="Arial" w:ascii="Calibri" w:hAnsi="Calibri"/>
          <w:color w:val="auto"/>
          <w:sz w:val="20"/>
          <w:szCs w:val="20"/>
        </w:rPr>
        <w:t xml:space="preserve">, realizará Dispensa Eletrônica, </w:t>
      </w:r>
      <w:r>
        <w:rPr>
          <w:rFonts w:cs="Arial" w:ascii="Calibri" w:hAnsi="Calibri"/>
          <w:bCs/>
          <w:color w:val="auto"/>
          <w:sz w:val="20"/>
          <w:szCs w:val="20"/>
        </w:rPr>
        <w:t>com critério de julgamento</w:t>
      </w:r>
      <w:r>
        <w:rPr>
          <w:rFonts w:cs="Arial" w:ascii="Calibri" w:hAnsi="Calibri"/>
          <w:b/>
          <w:bCs/>
          <w:color w:val="auto"/>
          <w:sz w:val="20"/>
          <w:szCs w:val="20"/>
        </w:rPr>
        <w:t xml:space="preserve"> </w:t>
      </w:r>
      <w:r>
        <w:rPr>
          <w:rFonts w:cs="Arial" w:ascii="Calibri" w:hAnsi="Calibri"/>
          <w:b/>
          <w:bCs/>
          <w:i w:val="false"/>
          <w:iCs w:val="false"/>
          <w:color w:val="auto"/>
          <w:sz w:val="20"/>
          <w:szCs w:val="20"/>
        </w:rPr>
        <w:t>menor preço</w:t>
      </w:r>
      <w:r>
        <w:rPr>
          <w:rFonts w:cs="Arial" w:ascii="Calibri" w:hAnsi="Calibri"/>
          <w:b/>
          <w:bCs/>
          <w:i/>
          <w:color w:val="auto"/>
          <w:sz w:val="20"/>
          <w:szCs w:val="20"/>
        </w:rPr>
        <w:t xml:space="preserve">, </w:t>
      </w:r>
      <w:r>
        <w:rPr>
          <w:rFonts w:cs="Arial" w:ascii="Calibri" w:hAnsi="Calibri"/>
          <w:color w:val="auto"/>
          <w:sz w:val="20"/>
          <w:szCs w:val="20"/>
        </w:rPr>
        <w:t>na hipótese do art. 75</w:t>
      </w:r>
      <w:r>
        <w:rPr>
          <w:rFonts w:cs="Arial" w:ascii="Calibri" w:hAnsi="Calibri"/>
          <w:i/>
          <w:iCs/>
          <w:color w:val="auto"/>
          <w:sz w:val="20"/>
          <w:szCs w:val="20"/>
        </w:rPr>
        <w:t>,</w:t>
      </w:r>
      <w:r>
        <w:rPr>
          <w:rFonts w:cs="Arial" w:ascii="Calibri" w:hAnsi="Calibri"/>
          <w:b/>
          <w:i/>
          <w:iCs/>
          <w:color w:val="auto"/>
          <w:sz w:val="20"/>
          <w:szCs w:val="20"/>
        </w:rPr>
        <w:t xml:space="preserve"> </w:t>
      </w:r>
      <w:r>
        <w:rPr>
          <w:rFonts w:cs="Arial" w:ascii="Calibri" w:hAnsi="Calibri"/>
          <w:b/>
          <w:i w:val="false"/>
          <w:iCs w:val="false"/>
          <w:color w:val="auto"/>
          <w:sz w:val="20"/>
          <w:szCs w:val="20"/>
        </w:rPr>
        <w:t>II</w:t>
      </w:r>
      <w:r>
        <w:rPr>
          <w:rFonts w:cs="Arial" w:ascii="Calibri" w:hAnsi="Calibri"/>
          <w:i/>
          <w:iCs/>
          <w:color w:val="auto"/>
          <w:sz w:val="20"/>
          <w:szCs w:val="20"/>
        </w:rPr>
        <w:t>,</w:t>
      </w:r>
      <w:r>
        <w:rPr>
          <w:rFonts w:cs="Arial" w:ascii="Calibri" w:hAnsi="Calibri"/>
          <w:color w:val="auto"/>
          <w:sz w:val="20"/>
          <w:szCs w:val="20"/>
        </w:rPr>
        <w:t xml:space="preserve"> </w:t>
      </w:r>
      <w:r>
        <w:rPr>
          <w:rFonts w:cs="Arial" w:ascii="Calibri" w:hAnsi="Calibri"/>
          <w:bCs/>
          <w:color w:val="auto"/>
          <w:sz w:val="20"/>
          <w:szCs w:val="20"/>
        </w:rPr>
        <w:t>nos termos da Lei nº 14.133, de 1º de abril de 2021, da Instrução No</w:t>
      </w:r>
      <w:r>
        <w:rPr>
          <w:rFonts w:cs="Arial" w:ascii="Calibri" w:hAnsi="Calibri"/>
          <w:bCs/>
          <w:sz w:val="20"/>
          <w:szCs w:val="20"/>
        </w:rPr>
        <w:t>rmativa SEGES/ME nº 67/2021 e demais legislação aplicável</w:t>
      </w:r>
      <w:r>
        <w:rPr>
          <w:rFonts w:cs="Arial" w:ascii="Calibri" w:hAnsi="Calibri"/>
          <w:color w:val="000000"/>
          <w:sz w:val="20"/>
          <w:szCs w:val="20"/>
        </w:rPr>
        <w:t>.</w:t>
      </w:r>
    </w:p>
    <w:p>
      <w:pPr>
        <w:pStyle w:val="Normal"/>
        <w:spacing w:lineRule="auto" w:line="276"/>
        <w:jc w:val="both"/>
        <w:rPr/>
      </w:pPr>
      <w:r>
        <w:rPr>
          <w:rFonts w:cs="Arial" w:ascii="Calibri" w:hAnsi="Calibri"/>
          <w:color w:val="000000" w:themeColor="text1"/>
          <w:sz w:val="20"/>
          <w:szCs w:val="20"/>
        </w:rPr>
        <w:t>Data da sessão: 11/10/2021</w:t>
      </w:r>
    </w:p>
    <w:p>
      <w:pPr>
        <w:pStyle w:val="Normal"/>
        <w:rPr/>
      </w:pPr>
      <w:r>
        <w:rPr>
          <w:rFonts w:cs="Arial" w:ascii="Calibri" w:hAnsi="Calibri"/>
          <w:color w:val="000000" w:themeColor="text1"/>
          <w:sz w:val="20"/>
          <w:szCs w:val="20"/>
        </w:rPr>
        <w:t>Link: gov.br/compras</w:t>
      </w:r>
    </w:p>
    <w:p>
      <w:pPr>
        <w:pStyle w:val="Normal"/>
        <w:rPr/>
      </w:pPr>
      <w:r>
        <w:rPr>
          <w:rFonts w:cs="Arial" w:ascii="Calibri" w:hAnsi="Calibri"/>
          <w:color w:val="000000" w:themeColor="text1"/>
          <w:sz w:val="20"/>
          <w:szCs w:val="20"/>
        </w:rPr>
        <w:t>Horário da Fase de Lances: 8:00 às 16:30h</w:t>
      </w:r>
    </w:p>
    <w:p>
      <w:pPr>
        <w:pStyle w:val="PADRO"/>
        <w:keepNext w:val="false"/>
        <w:widowControl/>
        <w:shd w:val="clear" w:color="auto" w:fill="auto"/>
        <w:spacing w:before="120" w:after="120"/>
        <w:ind w:left="360" w:hanging="0"/>
        <w:rPr>
          <w:rFonts w:ascii="Calibri" w:hAnsi="Calibri" w:cs="Arial"/>
          <w:b/>
          <w:b/>
          <w:sz w:val="20"/>
          <w:szCs w:val="20"/>
        </w:rPr>
      </w:pPr>
      <w:r>
        <w:rPr>
          <w:rFonts w:cs="Arial" w:ascii="Calibri" w:hAnsi="Calibri"/>
          <w:b/>
          <w:sz w:val="20"/>
          <w:szCs w:val="20"/>
        </w:rPr>
      </w:r>
    </w:p>
    <w:p>
      <w:pPr>
        <w:pStyle w:val="PADRO"/>
        <w:keepNext w:val="false"/>
        <w:widowControl/>
        <w:numPr>
          <w:ilvl w:val="0"/>
          <w:numId w:val="1"/>
        </w:numPr>
        <w:shd w:val="clear" w:color="auto" w:fill="auto"/>
        <w:spacing w:before="120" w:after="120"/>
        <w:rPr>
          <w:rFonts w:ascii="Arial" w:hAnsi="Arial" w:cs="Arial"/>
          <w:b/>
          <w:b/>
        </w:rPr>
      </w:pPr>
      <w:r>
        <w:rPr>
          <w:rFonts w:cs="Arial" w:ascii="Calibri" w:hAnsi="Calibri"/>
          <w:b/>
          <w:sz w:val="20"/>
          <w:szCs w:val="20"/>
        </w:rPr>
        <w:t>OBJETO DA CONTRATAÇÃO DIRETA</w:t>
      </w:r>
      <w:bookmarkStart w:id="1" w:name="_GoBack"/>
      <w:bookmarkEnd w:id="1"/>
    </w:p>
    <w:p>
      <w:pPr>
        <w:pStyle w:val="PADRO"/>
        <w:keepNext w:val="false"/>
        <w:widowControl/>
        <w:numPr>
          <w:ilvl w:val="1"/>
          <w:numId w:val="1"/>
        </w:numPr>
        <w:shd w:val="clear" w:color="auto" w:fill="auto"/>
        <w:spacing w:before="120" w:after="120"/>
        <w:rPr/>
      </w:pPr>
      <w:r>
        <w:rPr>
          <w:rFonts w:cs="Arial" w:ascii="Calibri" w:hAnsi="Calibri"/>
          <w:color w:val="000000" w:themeColor="text1"/>
          <w:sz w:val="20"/>
          <w:szCs w:val="20"/>
        </w:rPr>
        <w:t>O objeto da presente dispensa é a es</w:t>
      </w:r>
      <w:r>
        <w:rPr>
          <w:rFonts w:cs="Arial" w:ascii="Calibri" w:hAnsi="Calibri"/>
          <w:color w:val="auto"/>
          <w:sz w:val="20"/>
          <w:szCs w:val="20"/>
        </w:rPr>
        <w:t>colha da proposta mais vantajosa para a contratação por dispensa de licitação de ração animal e feno para equinos</w:t>
      </w:r>
      <w:r>
        <w:rPr>
          <w:rFonts w:cs="Arial" w:ascii="Calibri" w:hAnsi="Calibri"/>
          <w:b/>
          <w:bCs/>
          <w:color w:val="000000" w:themeColor="text1"/>
          <w:sz w:val="20"/>
          <w:szCs w:val="20"/>
        </w:rPr>
        <w:t>,</w:t>
      </w:r>
      <w:r>
        <w:rPr>
          <w:rFonts w:cs="Arial" w:ascii="Calibri" w:hAnsi="Calibri"/>
          <w:color w:val="000000" w:themeColor="text1"/>
          <w:sz w:val="20"/>
          <w:szCs w:val="20"/>
        </w:rPr>
        <w:t xml:space="preserve"> conforme condições, quantidades e exigências estabelecidas neste Aviso de Contratação Direta e seus anexos.</w:t>
      </w:r>
    </w:p>
    <w:p>
      <w:pPr>
        <w:pStyle w:val="PADRO"/>
        <w:keepNext w:val="false"/>
        <w:widowControl/>
        <w:numPr>
          <w:ilvl w:val="1"/>
          <w:numId w:val="1"/>
        </w:numPr>
        <w:shd w:val="clear" w:color="auto" w:fill="auto"/>
        <w:spacing w:before="120" w:after="120"/>
        <w:rPr>
          <w:i w:val="false"/>
          <w:i w:val="false"/>
          <w:iCs w:val="false"/>
          <w:color w:val="auto"/>
        </w:rPr>
      </w:pPr>
      <w:r>
        <w:rPr>
          <w:rFonts w:cs="Arial" w:ascii="Calibri" w:hAnsi="Calibri"/>
          <w:i w:val="false"/>
          <w:iCs w:val="false"/>
          <w:color w:val="auto"/>
          <w:sz w:val="20"/>
          <w:szCs w:val="20"/>
        </w:rPr>
        <w:t>A contratação será dividida em itens/ conforme tabela constante abaixo.</w:t>
      </w:r>
    </w:p>
    <w:tbl>
      <w:tblPr>
        <w:tblW w:w="9780" w:type="dxa"/>
        <w:jc w:val="left"/>
        <w:tblInd w:w="-711" w:type="dxa"/>
        <w:tblBorders>
          <w:top w:val="single" w:sz="2" w:space="0" w:color="000000"/>
          <w:left w:val="single" w:sz="2" w:space="0" w:color="000000"/>
          <w:bottom w:val="single" w:sz="2" w:space="0" w:color="000000"/>
          <w:insideH w:val="single" w:sz="2" w:space="0" w:color="000000"/>
        </w:tblBorders>
        <w:tblCellMar>
          <w:top w:w="55" w:type="dxa"/>
          <w:left w:w="51" w:type="dxa"/>
          <w:bottom w:w="55" w:type="dxa"/>
          <w:right w:w="55" w:type="dxa"/>
        </w:tblCellMar>
      </w:tblPr>
      <w:tblGrid>
        <w:gridCol w:w="750"/>
        <w:gridCol w:w="2535"/>
        <w:gridCol w:w="1065"/>
        <w:gridCol w:w="1032"/>
        <w:gridCol w:w="797"/>
        <w:gridCol w:w="1648"/>
        <w:gridCol w:w="2"/>
        <w:gridCol w:w="1950"/>
      </w:tblGrid>
      <w:tr>
        <w:trPr/>
        <w:tc>
          <w:tcPr>
            <w:tcW w:w="750" w:type="dxa"/>
            <w:tcBorders>
              <w:top w:val="single" w:sz="2" w:space="0" w:color="000000"/>
              <w:left w:val="single" w:sz="2" w:space="0" w:color="000000"/>
              <w:bottom w:val="single" w:sz="2" w:space="0" w:color="000000"/>
              <w:insideH w:val="single" w:sz="2" w:space="0" w:color="000000"/>
            </w:tcBorders>
            <w:shd w:fill="auto" w:val="clear"/>
          </w:tcPr>
          <w:p>
            <w:pPr>
              <w:pStyle w:val="Normal"/>
              <w:widowControl w:val="false"/>
              <w:suppressAutoHyphens w:val="true"/>
              <w:jc w:val="center"/>
              <w:rPr>
                <w:rFonts w:ascii="Calibri" w:hAnsi="Calibri"/>
                <w:i w:val="false"/>
                <w:i w:val="false"/>
                <w:iCs w:val="false"/>
                <w:sz w:val="18"/>
                <w:szCs w:val="18"/>
              </w:rPr>
            </w:pPr>
            <w:r>
              <w:rPr>
                <w:rFonts w:cs="Arial" w:ascii="Calibri" w:hAnsi="Calibri"/>
                <w:b/>
                <w:bCs/>
                <w:i w:val="false"/>
                <w:iCs w:val="false"/>
                <w:color w:val="000000"/>
                <w:sz w:val="18"/>
                <w:szCs w:val="18"/>
              </w:rPr>
              <w:t>ITEM</w:t>
            </w:r>
          </w:p>
          <w:p>
            <w:pPr>
              <w:pStyle w:val="Normal"/>
              <w:widowControl w:val="false"/>
              <w:numPr>
                <w:ilvl w:val="0"/>
                <w:numId w:val="0"/>
              </w:numPr>
              <w:suppressAutoHyphens w:val="true"/>
              <w:ind w:left="360" w:hanging="0"/>
              <w:jc w:val="center"/>
              <w:rPr>
                <w:rFonts w:ascii="Calibri" w:hAnsi="Calibri" w:cs="Arial"/>
                <w:b/>
                <w:b/>
                <w:i w:val="false"/>
                <w:i w:val="false"/>
                <w:iCs w:val="false"/>
                <w:color w:val="000000"/>
                <w:sz w:val="18"/>
                <w:szCs w:val="18"/>
              </w:rPr>
            </w:pPr>
            <w:r>
              <w:rPr>
                <w:rFonts w:cs="Arial" w:ascii="Calibri" w:hAnsi="Calibri"/>
                <w:b/>
                <w:i w:val="false"/>
                <w:iCs w:val="false"/>
                <w:color w:val="000000"/>
                <w:sz w:val="18"/>
                <w:szCs w:val="18"/>
              </w:rPr>
            </w:r>
          </w:p>
        </w:tc>
        <w:tc>
          <w:tcPr>
            <w:tcW w:w="2535" w:type="dxa"/>
            <w:tcBorders>
              <w:top w:val="single" w:sz="2" w:space="0" w:color="000000"/>
              <w:left w:val="single" w:sz="2" w:space="0" w:color="000000"/>
              <w:bottom w:val="single" w:sz="2" w:space="0" w:color="000000"/>
              <w:insideH w:val="single" w:sz="2" w:space="0" w:color="000000"/>
            </w:tcBorders>
            <w:shd w:fill="auto" w:val="clear"/>
          </w:tcPr>
          <w:p>
            <w:pPr>
              <w:pStyle w:val="Normal"/>
              <w:widowControl/>
              <w:numPr>
                <w:ilvl w:val="0"/>
                <w:numId w:val="0"/>
              </w:numPr>
              <w:bidi w:val="0"/>
              <w:spacing w:lineRule="auto" w:line="240" w:before="0" w:after="0"/>
              <w:ind w:left="20" w:right="0" w:hanging="0"/>
              <w:jc w:val="center"/>
              <w:rPr>
                <w:rFonts w:ascii="Calibri" w:hAnsi="Calibri"/>
                <w:i w:val="false"/>
                <w:i w:val="false"/>
                <w:iCs w:val="false"/>
                <w:sz w:val="18"/>
                <w:szCs w:val="18"/>
              </w:rPr>
            </w:pPr>
            <w:r>
              <w:rPr>
                <w:rFonts w:cs="Arial" w:ascii="Calibri" w:hAnsi="Calibri"/>
                <w:b/>
                <w:bCs/>
                <w:i w:val="false"/>
                <w:iCs w:val="false"/>
                <w:color w:val="000000"/>
                <w:sz w:val="18"/>
                <w:szCs w:val="18"/>
              </w:rPr>
              <w:t>DESCRIÇÃO/</w:t>
            </w:r>
          </w:p>
          <w:p>
            <w:pPr>
              <w:pStyle w:val="Normal"/>
              <w:widowControl w:val="false"/>
              <w:numPr>
                <w:ilvl w:val="0"/>
                <w:numId w:val="0"/>
              </w:numPr>
              <w:suppressAutoHyphens w:val="true"/>
              <w:spacing w:lineRule="auto" w:line="240"/>
              <w:ind w:left="360" w:hanging="0"/>
              <w:jc w:val="center"/>
              <w:rPr>
                <w:rFonts w:ascii="Calibri" w:hAnsi="Calibri"/>
                <w:i w:val="false"/>
                <w:i w:val="false"/>
                <w:iCs w:val="false"/>
                <w:sz w:val="18"/>
                <w:szCs w:val="18"/>
              </w:rPr>
            </w:pPr>
            <w:r>
              <w:rPr>
                <w:rFonts w:cs="Arial" w:ascii="Calibri" w:hAnsi="Calibri"/>
                <w:b/>
                <w:bCs/>
                <w:i w:val="false"/>
                <w:iCs w:val="false"/>
                <w:color w:val="000000"/>
                <w:sz w:val="18"/>
                <w:szCs w:val="18"/>
              </w:rPr>
              <w:t>ESPECIFICAÇÃO</w:t>
            </w:r>
          </w:p>
        </w:tc>
        <w:tc>
          <w:tcPr>
            <w:tcW w:w="1065" w:type="dxa"/>
            <w:tcBorders>
              <w:top w:val="single" w:sz="2" w:space="0" w:color="000000"/>
              <w:left w:val="single" w:sz="2" w:space="0" w:color="000000"/>
              <w:bottom w:val="single" w:sz="2" w:space="0" w:color="000000"/>
              <w:insideH w:val="single" w:sz="2" w:space="0" w:color="000000"/>
            </w:tcBorders>
            <w:shd w:fill="auto" w:val="clear"/>
          </w:tcPr>
          <w:p>
            <w:pPr>
              <w:pStyle w:val="Normal"/>
              <w:widowControl w:val="false"/>
              <w:numPr>
                <w:ilvl w:val="0"/>
                <w:numId w:val="0"/>
              </w:numPr>
              <w:suppressAutoHyphens w:val="true"/>
              <w:bidi w:val="0"/>
              <w:spacing w:lineRule="auto" w:line="240" w:before="0" w:after="0"/>
              <w:ind w:left="20" w:right="0" w:hanging="0"/>
              <w:jc w:val="center"/>
              <w:rPr>
                <w:rFonts w:ascii="Calibri" w:hAnsi="Calibri"/>
                <w:i w:val="false"/>
                <w:i w:val="false"/>
                <w:iCs w:val="false"/>
                <w:sz w:val="18"/>
                <w:szCs w:val="18"/>
              </w:rPr>
            </w:pPr>
            <w:r>
              <w:rPr>
                <w:rFonts w:cs="Arial" w:ascii="Calibri" w:hAnsi="Calibri"/>
                <w:b/>
                <w:bCs/>
                <w:i w:val="false"/>
                <w:iCs w:val="false"/>
                <w:color w:val="000000"/>
                <w:sz w:val="18"/>
                <w:szCs w:val="18"/>
              </w:rPr>
              <w:t>CATMAT</w:t>
            </w:r>
          </w:p>
        </w:tc>
        <w:tc>
          <w:tcPr>
            <w:tcW w:w="1032" w:type="dxa"/>
            <w:tcBorders>
              <w:top w:val="single" w:sz="2" w:space="0" w:color="000000"/>
              <w:left w:val="single" w:sz="2" w:space="0" w:color="000000"/>
              <w:bottom w:val="single" w:sz="2" w:space="0" w:color="000000"/>
              <w:insideH w:val="single" w:sz="2" w:space="0" w:color="000000"/>
            </w:tcBorders>
            <w:shd w:fill="auto" w:val="clear"/>
          </w:tcPr>
          <w:p>
            <w:pPr>
              <w:pStyle w:val="Normal"/>
              <w:widowControl w:val="false"/>
              <w:suppressAutoHyphens w:val="true"/>
              <w:jc w:val="center"/>
              <w:rPr>
                <w:rFonts w:ascii="Calibri" w:hAnsi="Calibri"/>
                <w:i w:val="false"/>
                <w:i w:val="false"/>
                <w:iCs w:val="false"/>
                <w:sz w:val="18"/>
                <w:szCs w:val="18"/>
              </w:rPr>
            </w:pPr>
            <w:r>
              <w:rPr>
                <w:rFonts w:cs="Arial" w:ascii="Calibri" w:hAnsi="Calibri"/>
                <w:b/>
                <w:bCs/>
                <w:i w:val="false"/>
                <w:iCs w:val="false"/>
                <w:color w:val="000000"/>
                <w:sz w:val="18"/>
                <w:szCs w:val="18"/>
              </w:rPr>
              <w:t>UND</w:t>
            </w:r>
          </w:p>
        </w:tc>
        <w:tc>
          <w:tcPr>
            <w:tcW w:w="797" w:type="dxa"/>
            <w:tcBorders>
              <w:top w:val="single" w:sz="2" w:space="0" w:color="000000"/>
              <w:left w:val="single" w:sz="2" w:space="0" w:color="000000"/>
              <w:bottom w:val="single" w:sz="2" w:space="0" w:color="000000"/>
              <w:insideH w:val="single" w:sz="2" w:space="0" w:color="000000"/>
            </w:tcBorders>
            <w:shd w:fill="auto" w:val="clear"/>
          </w:tcPr>
          <w:p>
            <w:pPr>
              <w:pStyle w:val="Normal"/>
              <w:widowControl w:val="false"/>
              <w:numPr>
                <w:ilvl w:val="0"/>
                <w:numId w:val="0"/>
              </w:numPr>
              <w:suppressAutoHyphens w:val="true"/>
              <w:bidi w:val="0"/>
              <w:spacing w:lineRule="auto" w:line="240" w:before="0" w:after="0"/>
              <w:ind w:left="77" w:right="0" w:hanging="0"/>
              <w:jc w:val="center"/>
              <w:rPr>
                <w:rFonts w:ascii="Calibri" w:hAnsi="Calibri"/>
                <w:i w:val="false"/>
                <w:i w:val="false"/>
                <w:iCs w:val="false"/>
                <w:sz w:val="18"/>
                <w:szCs w:val="18"/>
              </w:rPr>
            </w:pPr>
            <w:r>
              <w:rPr>
                <w:rFonts w:cs="Arial" w:ascii="Calibri" w:hAnsi="Calibri"/>
                <w:b/>
                <w:bCs/>
                <w:i w:val="false"/>
                <w:iCs w:val="false"/>
                <w:color w:val="000000"/>
                <w:sz w:val="18"/>
                <w:szCs w:val="18"/>
              </w:rPr>
              <w:t>QTD</w:t>
            </w:r>
          </w:p>
        </w:tc>
        <w:tc>
          <w:tcPr>
            <w:tcW w:w="1648" w:type="dxa"/>
            <w:tcBorders>
              <w:top w:val="single" w:sz="2" w:space="0" w:color="000000"/>
              <w:left w:val="single" w:sz="2" w:space="0" w:color="000000"/>
              <w:bottom w:val="single" w:sz="2" w:space="0" w:color="000000"/>
              <w:insideH w:val="single" w:sz="2" w:space="0" w:color="000000"/>
            </w:tcBorders>
            <w:shd w:fill="auto" w:val="clear"/>
          </w:tcPr>
          <w:p>
            <w:pPr>
              <w:pStyle w:val="Normal"/>
              <w:widowControl w:val="false"/>
              <w:numPr>
                <w:ilvl w:val="0"/>
                <w:numId w:val="0"/>
              </w:numPr>
              <w:suppressAutoHyphens w:val="true"/>
              <w:bidi w:val="0"/>
              <w:spacing w:lineRule="auto" w:line="240" w:before="0" w:after="0"/>
              <w:ind w:left="77" w:right="0" w:hanging="0"/>
              <w:jc w:val="center"/>
              <w:rPr>
                <w:rFonts w:ascii="Calibri" w:hAnsi="Calibri"/>
                <w:i w:val="false"/>
                <w:i w:val="false"/>
                <w:iCs w:val="false"/>
                <w:color w:val="auto"/>
                <w:sz w:val="18"/>
                <w:szCs w:val="18"/>
              </w:rPr>
            </w:pPr>
            <w:r>
              <w:rPr>
                <w:rFonts w:cs="Arial" w:ascii="Calibri" w:hAnsi="Calibri"/>
                <w:b/>
                <w:bCs/>
                <w:i w:val="false"/>
                <w:iCs w:val="false"/>
                <w:color w:val="auto"/>
                <w:sz w:val="18"/>
                <w:szCs w:val="18"/>
              </w:rPr>
              <w:t>VALOR UNIT MAX ACEITÁVEL</w:t>
            </w:r>
          </w:p>
        </w:tc>
        <w:tc>
          <w:tcPr>
            <w:tcW w:w="1952" w:type="dxa"/>
            <w:gridSpan w:val="2"/>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widowControl w:val="false"/>
              <w:numPr>
                <w:ilvl w:val="0"/>
                <w:numId w:val="0"/>
              </w:numPr>
              <w:suppressAutoHyphens w:val="true"/>
              <w:bidi w:val="0"/>
              <w:spacing w:lineRule="auto" w:line="240" w:before="0" w:after="0"/>
              <w:ind w:left="77" w:right="0" w:hanging="0"/>
              <w:jc w:val="center"/>
              <w:rPr>
                <w:rFonts w:ascii="Calibri" w:hAnsi="Calibri"/>
                <w:b/>
                <w:b/>
                <w:bCs/>
                <w:i w:val="false"/>
                <w:i w:val="false"/>
                <w:iCs w:val="false"/>
                <w:color w:val="auto"/>
                <w:sz w:val="18"/>
                <w:szCs w:val="18"/>
              </w:rPr>
            </w:pPr>
            <w:r>
              <w:rPr>
                <w:rFonts w:ascii="Calibri" w:hAnsi="Calibri"/>
                <w:b/>
                <w:bCs/>
                <w:i w:val="false"/>
                <w:iCs w:val="false"/>
                <w:color w:val="auto"/>
                <w:sz w:val="18"/>
                <w:szCs w:val="18"/>
              </w:rPr>
              <w:t>VALOR TOTAL MAX ACEITÁVEL</w:t>
            </w:r>
          </w:p>
        </w:tc>
      </w:tr>
      <w:tr>
        <w:trPr/>
        <w:tc>
          <w:tcPr>
            <w:tcW w:w="750" w:type="dxa"/>
            <w:tcBorders>
              <w:top w:val="single" w:sz="2" w:space="0" w:color="000000"/>
              <w:left w:val="single" w:sz="2" w:space="0" w:color="000000"/>
              <w:bottom w:val="single" w:sz="2" w:space="0" w:color="000000"/>
              <w:insideH w:val="single" w:sz="2" w:space="0" w:color="000000"/>
            </w:tcBorders>
            <w:shd w:fill="auto" w:val="clear"/>
            <w:vAlign w:val="center"/>
          </w:tcPr>
          <w:p>
            <w:pPr>
              <w:pStyle w:val="Normal"/>
              <w:widowControl w:val="false"/>
              <w:suppressAutoHyphens w:val="true"/>
              <w:spacing w:lineRule="auto" w:line="276" w:before="0" w:after="120"/>
              <w:jc w:val="center"/>
              <w:rPr>
                <w:rFonts w:ascii="Calibri" w:hAnsi="Calibri"/>
                <w:b/>
                <w:b/>
                <w:bCs/>
                <w:i w:val="false"/>
                <w:i w:val="false"/>
                <w:iCs w:val="false"/>
                <w:sz w:val="18"/>
                <w:szCs w:val="18"/>
              </w:rPr>
            </w:pPr>
            <w:r>
              <w:rPr>
                <w:rFonts w:ascii="Calibri" w:hAnsi="Calibri"/>
                <w:b/>
                <w:bCs/>
                <w:i w:val="false"/>
                <w:iCs w:val="false"/>
                <w:sz w:val="18"/>
                <w:szCs w:val="18"/>
              </w:rPr>
              <w:t>1</w:t>
            </w:r>
          </w:p>
        </w:tc>
        <w:tc>
          <w:tcPr>
            <w:tcW w:w="2535" w:type="dxa"/>
            <w:tcBorders>
              <w:top w:val="single" w:sz="2" w:space="0" w:color="000000"/>
              <w:left w:val="single" w:sz="2" w:space="0" w:color="000000"/>
              <w:bottom w:val="single" w:sz="2" w:space="0" w:color="000000"/>
              <w:insideH w:val="single" w:sz="2" w:space="0" w:color="000000"/>
            </w:tcBorders>
            <w:shd w:fill="auto" w:val="clear"/>
            <w:vAlign w:val="center"/>
          </w:tcPr>
          <w:p>
            <w:pPr>
              <w:pStyle w:val="NormalWeb"/>
              <w:widowControl w:val="false"/>
              <w:suppressAutoHyphens w:val="true"/>
              <w:spacing w:lineRule="auto" w:line="240" w:before="0" w:after="0"/>
              <w:rPr>
                <w:rFonts w:ascii="Calibri" w:hAnsi="Calibri" w:cs="Arial"/>
                <w:i w:val="false"/>
                <w:i w:val="false"/>
                <w:iCs w:val="false"/>
                <w:color w:val="FF0000"/>
                <w:sz w:val="18"/>
                <w:szCs w:val="18"/>
              </w:rPr>
            </w:pPr>
            <w:r>
              <w:rPr>
                <w:rFonts w:cs="Arial" w:ascii="Calibri" w:hAnsi="Calibri"/>
                <w:i w:val="false"/>
                <w:iCs w:val="false"/>
                <w:color w:val="000000"/>
                <w:spacing w:val="-9"/>
                <w:sz w:val="18"/>
                <w:szCs w:val="18"/>
                <w:shd w:fill="FFFFFF" w:val="clear"/>
              </w:rPr>
              <w:t>Feno de Tifton, Mínimo de 12% de proteína Bruta, para aplicação animal.</w:t>
            </w:r>
          </w:p>
        </w:tc>
        <w:tc>
          <w:tcPr>
            <w:tcW w:w="1065" w:type="dxa"/>
            <w:tcBorders>
              <w:top w:val="single" w:sz="2" w:space="0" w:color="000000"/>
              <w:left w:val="single" w:sz="2" w:space="0" w:color="000000"/>
              <w:bottom w:val="single" w:sz="2" w:space="0" w:color="000000"/>
              <w:insideH w:val="single" w:sz="2" w:space="0" w:color="000000"/>
            </w:tcBorders>
            <w:shd w:fill="auto" w:val="clear"/>
            <w:vAlign w:val="center"/>
          </w:tcPr>
          <w:p>
            <w:pPr>
              <w:pStyle w:val="Normal"/>
              <w:widowControl w:val="false"/>
              <w:suppressAutoHyphens w:val="true"/>
              <w:spacing w:lineRule="auto" w:line="240" w:before="0" w:after="0"/>
              <w:jc w:val="center"/>
              <w:rPr>
                <w:rFonts w:ascii="Calibri" w:hAnsi="Calibri" w:cs="Arial"/>
                <w:color w:val="000000"/>
                <w:sz w:val="18"/>
                <w:szCs w:val="18"/>
              </w:rPr>
            </w:pPr>
            <w:r>
              <w:rPr>
                <w:rFonts w:cs="Arial" w:ascii="Calibri" w:hAnsi="Calibri"/>
                <w:color w:val="000000"/>
                <w:sz w:val="18"/>
                <w:szCs w:val="18"/>
                <w:shd w:fill="FFFFFF" w:val="clear"/>
              </w:rPr>
              <w:t>453421</w:t>
            </w:r>
          </w:p>
        </w:tc>
        <w:tc>
          <w:tcPr>
            <w:tcW w:w="1032" w:type="dxa"/>
            <w:tcBorders>
              <w:top w:val="single" w:sz="2" w:space="0" w:color="000000"/>
              <w:left w:val="single" w:sz="2" w:space="0" w:color="000000"/>
              <w:bottom w:val="single" w:sz="2" w:space="0" w:color="000000"/>
              <w:insideH w:val="single" w:sz="2" w:space="0" w:color="000000"/>
            </w:tcBorders>
            <w:shd w:fill="auto" w:val="clear"/>
            <w:vAlign w:val="center"/>
          </w:tcPr>
          <w:p>
            <w:pPr>
              <w:pStyle w:val="Normal"/>
              <w:widowControl w:val="false"/>
              <w:suppressAutoHyphens w:val="true"/>
              <w:spacing w:lineRule="auto" w:line="240" w:before="0" w:after="0"/>
              <w:jc w:val="center"/>
              <w:rPr>
                <w:rFonts w:ascii="Calibri" w:hAnsi="Calibri" w:cs="Arial"/>
                <w:color w:val="000000"/>
                <w:sz w:val="18"/>
                <w:szCs w:val="18"/>
              </w:rPr>
            </w:pPr>
            <w:r>
              <w:rPr>
                <w:rFonts w:cs="Arial" w:ascii="Calibri" w:hAnsi="Calibri"/>
                <w:color w:val="000000"/>
                <w:sz w:val="18"/>
                <w:szCs w:val="18"/>
              </w:rPr>
              <w:t>kg</w:t>
            </w:r>
          </w:p>
        </w:tc>
        <w:tc>
          <w:tcPr>
            <w:tcW w:w="797" w:type="dxa"/>
            <w:tcBorders>
              <w:top w:val="single" w:sz="2" w:space="0" w:color="000000"/>
              <w:left w:val="single" w:sz="2" w:space="0" w:color="000000"/>
              <w:bottom w:val="single" w:sz="2" w:space="0" w:color="000000"/>
              <w:insideH w:val="single" w:sz="2" w:space="0" w:color="000000"/>
            </w:tcBorders>
            <w:shd w:fill="auto" w:val="clear"/>
            <w:vAlign w:val="center"/>
          </w:tcPr>
          <w:p>
            <w:pPr>
              <w:pStyle w:val="Normal"/>
              <w:widowControl w:val="false"/>
              <w:suppressAutoHyphens w:val="true"/>
              <w:spacing w:lineRule="auto" w:line="240" w:before="0" w:after="0"/>
              <w:jc w:val="center"/>
              <w:rPr>
                <w:rFonts w:ascii="Calibri" w:hAnsi="Calibri" w:cs="Arial"/>
                <w:color w:val="000000"/>
                <w:sz w:val="18"/>
                <w:szCs w:val="18"/>
              </w:rPr>
            </w:pPr>
            <w:r>
              <w:rPr>
                <w:rFonts w:cs="Arial" w:ascii="Calibri" w:hAnsi="Calibri"/>
                <w:color w:val="000000"/>
                <w:sz w:val="18"/>
                <w:szCs w:val="18"/>
              </w:rPr>
              <w:t>3.000</w:t>
            </w:r>
          </w:p>
        </w:tc>
        <w:tc>
          <w:tcPr>
            <w:tcW w:w="1648" w:type="dxa"/>
            <w:tcBorders>
              <w:top w:val="single" w:sz="2" w:space="0" w:color="000000"/>
              <w:left w:val="single" w:sz="2" w:space="0" w:color="000000"/>
              <w:bottom w:val="single" w:sz="2" w:space="0" w:color="000000"/>
              <w:insideH w:val="single" w:sz="2" w:space="0" w:color="000000"/>
            </w:tcBorders>
            <w:shd w:fill="auto" w:val="clear"/>
            <w:vAlign w:val="center"/>
          </w:tcPr>
          <w:p>
            <w:pPr>
              <w:pStyle w:val="Normal"/>
              <w:widowControl w:val="false"/>
              <w:suppressAutoHyphens w:val="true"/>
              <w:spacing w:lineRule="auto" w:line="240" w:before="0" w:after="0"/>
              <w:jc w:val="center"/>
              <w:rPr>
                <w:rFonts w:ascii="Calibri" w:hAnsi="Calibri" w:cs="Arial"/>
                <w:color w:val="000000"/>
                <w:sz w:val="18"/>
                <w:szCs w:val="18"/>
              </w:rPr>
            </w:pPr>
            <w:r>
              <w:rPr>
                <w:rFonts w:cs="Arial" w:ascii="Calibri" w:hAnsi="Calibri"/>
                <w:color w:val="000000"/>
                <w:sz w:val="18"/>
                <w:szCs w:val="18"/>
              </w:rPr>
              <w:t>R$ 2,30</w:t>
            </w:r>
          </w:p>
        </w:tc>
        <w:tc>
          <w:tcPr>
            <w:tcW w:w="1952" w:type="dxa"/>
            <w:gridSpan w:val="2"/>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uppressAutoHyphens w:val="true"/>
              <w:spacing w:lineRule="auto" w:line="240" w:before="0" w:after="0"/>
              <w:jc w:val="center"/>
              <w:rPr>
                <w:rFonts w:ascii="Calibri" w:hAnsi="Calibri" w:cs="Arial"/>
                <w:color w:val="000000"/>
                <w:sz w:val="18"/>
                <w:szCs w:val="18"/>
              </w:rPr>
            </w:pPr>
            <w:r>
              <w:rPr>
                <w:rFonts w:cs="Arial" w:ascii="Calibri" w:hAnsi="Calibri"/>
                <w:color w:val="000000"/>
                <w:sz w:val="18"/>
                <w:szCs w:val="18"/>
              </w:rPr>
              <w:t>R$ 6.900,00</w:t>
            </w:r>
          </w:p>
        </w:tc>
      </w:tr>
      <w:tr>
        <w:trPr/>
        <w:tc>
          <w:tcPr>
            <w:tcW w:w="750" w:type="dxa"/>
            <w:tcBorders>
              <w:top w:val="single" w:sz="2" w:space="0" w:color="000000"/>
              <w:left w:val="single" w:sz="2" w:space="0" w:color="000000"/>
              <w:bottom w:val="single" w:sz="2" w:space="0" w:color="000000"/>
              <w:insideH w:val="single" w:sz="2" w:space="0" w:color="000000"/>
            </w:tcBorders>
            <w:shd w:fill="auto" w:val="clear"/>
            <w:vAlign w:val="center"/>
          </w:tcPr>
          <w:p>
            <w:pPr>
              <w:pStyle w:val="Normal"/>
              <w:widowControl w:val="false"/>
              <w:suppressAutoHyphens w:val="true"/>
              <w:spacing w:lineRule="auto" w:line="276" w:before="0" w:after="120"/>
              <w:jc w:val="center"/>
              <w:rPr>
                <w:rFonts w:ascii="Calibri" w:hAnsi="Calibri"/>
                <w:i w:val="false"/>
                <w:i w:val="false"/>
                <w:iCs w:val="false"/>
                <w:sz w:val="18"/>
                <w:szCs w:val="18"/>
              </w:rPr>
            </w:pPr>
            <w:r>
              <w:rPr>
                <w:rFonts w:cs="Arial" w:ascii="Calibri" w:hAnsi="Calibri"/>
                <w:b/>
                <w:i w:val="false"/>
                <w:iCs w:val="false"/>
                <w:color w:val="000000"/>
                <w:sz w:val="18"/>
                <w:szCs w:val="18"/>
              </w:rPr>
              <w:t>2</w:t>
            </w:r>
          </w:p>
        </w:tc>
        <w:tc>
          <w:tcPr>
            <w:tcW w:w="2535" w:type="dxa"/>
            <w:tcBorders>
              <w:top w:val="single" w:sz="2" w:space="0" w:color="000000"/>
              <w:left w:val="single" w:sz="2" w:space="0" w:color="000000"/>
              <w:bottom w:val="single" w:sz="2" w:space="0" w:color="000000"/>
              <w:insideH w:val="single" w:sz="2" w:space="0" w:color="000000"/>
            </w:tcBorders>
            <w:shd w:fill="auto" w:val="clear"/>
            <w:vAlign w:val="center"/>
          </w:tcPr>
          <w:p>
            <w:pPr>
              <w:pStyle w:val="NormalWeb"/>
              <w:widowControl w:val="false"/>
              <w:suppressAutoHyphens w:val="true"/>
              <w:spacing w:lineRule="auto" w:line="240" w:before="0" w:after="0"/>
              <w:jc w:val="both"/>
              <w:rPr>
                <w:rFonts w:ascii="Calibri" w:hAnsi="Calibri" w:cs="Arial"/>
                <w:color w:val="000000"/>
                <w:sz w:val="18"/>
                <w:szCs w:val="18"/>
              </w:rPr>
            </w:pPr>
            <w:r>
              <w:rPr>
                <w:rFonts w:cs="Arial" w:ascii="Calibri" w:hAnsi="Calibri"/>
                <w:color w:val="000000"/>
                <w:sz w:val="18"/>
                <w:szCs w:val="18"/>
              </w:rPr>
              <w:t>Ração animal para equinos com partículas 100% extrusadas com mínimo de 12% PB, 8% extrato etéreo, 0,5% lisina e máximo de 6% de melaço.Ref: Similar a H380, Equitage Supreme, Duranch Max Extreme</w:t>
            </w:r>
          </w:p>
        </w:tc>
        <w:tc>
          <w:tcPr>
            <w:tcW w:w="1065" w:type="dxa"/>
            <w:tcBorders>
              <w:top w:val="single" w:sz="2" w:space="0" w:color="000000"/>
              <w:left w:val="single" w:sz="2" w:space="0" w:color="000000"/>
              <w:bottom w:val="single" w:sz="2" w:space="0" w:color="000000"/>
              <w:insideH w:val="single" w:sz="2" w:space="0" w:color="000000"/>
            </w:tcBorders>
            <w:shd w:fill="auto" w:val="clear"/>
            <w:vAlign w:val="center"/>
          </w:tcPr>
          <w:p>
            <w:pPr>
              <w:pStyle w:val="Normal"/>
              <w:widowControl w:val="false"/>
              <w:suppressAutoHyphens w:val="true"/>
              <w:spacing w:lineRule="auto" w:line="240" w:before="0" w:after="0"/>
              <w:jc w:val="center"/>
              <w:rPr>
                <w:rFonts w:ascii="Calibri" w:hAnsi="Calibri" w:cs="Arial"/>
                <w:color w:val="000000"/>
                <w:sz w:val="18"/>
                <w:szCs w:val="18"/>
              </w:rPr>
            </w:pPr>
            <w:r>
              <w:rPr>
                <w:rFonts w:cs="Arial" w:ascii="Calibri" w:hAnsi="Calibri"/>
                <w:color w:val="000000"/>
                <w:sz w:val="18"/>
                <w:szCs w:val="18"/>
                <w:shd w:fill="FFFFFF" w:val="clear"/>
              </w:rPr>
              <w:t>452399</w:t>
            </w:r>
          </w:p>
        </w:tc>
        <w:tc>
          <w:tcPr>
            <w:tcW w:w="1032" w:type="dxa"/>
            <w:tcBorders>
              <w:top w:val="single" w:sz="2" w:space="0" w:color="000000"/>
              <w:left w:val="single" w:sz="2" w:space="0" w:color="000000"/>
              <w:bottom w:val="single" w:sz="2" w:space="0" w:color="000000"/>
              <w:insideH w:val="single" w:sz="2" w:space="0" w:color="000000"/>
            </w:tcBorders>
            <w:shd w:fill="auto" w:val="clear"/>
            <w:vAlign w:val="center"/>
          </w:tcPr>
          <w:p>
            <w:pPr>
              <w:pStyle w:val="Normal"/>
              <w:widowControl w:val="false"/>
              <w:suppressAutoHyphens w:val="true"/>
              <w:spacing w:lineRule="auto" w:line="240" w:before="0" w:after="0"/>
              <w:jc w:val="center"/>
              <w:rPr>
                <w:rFonts w:ascii="Calibri" w:hAnsi="Calibri" w:cs="Arial"/>
                <w:color w:val="000000"/>
                <w:sz w:val="18"/>
                <w:szCs w:val="18"/>
              </w:rPr>
            </w:pPr>
            <w:r>
              <w:rPr>
                <w:rFonts w:cs="Arial" w:ascii="Calibri" w:hAnsi="Calibri"/>
                <w:color w:val="000000"/>
                <w:sz w:val="18"/>
                <w:szCs w:val="18"/>
              </w:rPr>
              <w:t>Saco 30 Kg</w:t>
            </w:r>
          </w:p>
        </w:tc>
        <w:tc>
          <w:tcPr>
            <w:tcW w:w="797" w:type="dxa"/>
            <w:tcBorders>
              <w:top w:val="single" w:sz="2" w:space="0" w:color="000000"/>
              <w:left w:val="single" w:sz="2" w:space="0" w:color="000000"/>
              <w:bottom w:val="single" w:sz="2" w:space="0" w:color="000000"/>
              <w:insideH w:val="single" w:sz="2" w:space="0" w:color="000000"/>
            </w:tcBorders>
            <w:shd w:fill="auto" w:val="clear"/>
            <w:vAlign w:val="center"/>
          </w:tcPr>
          <w:p>
            <w:pPr>
              <w:pStyle w:val="Normal"/>
              <w:widowControl w:val="false"/>
              <w:suppressAutoHyphens w:val="true"/>
              <w:spacing w:lineRule="auto" w:line="240" w:before="0" w:after="0"/>
              <w:jc w:val="center"/>
              <w:rPr>
                <w:rFonts w:ascii="Calibri" w:hAnsi="Calibri" w:cs="Arial"/>
                <w:color w:val="000000"/>
                <w:sz w:val="18"/>
                <w:szCs w:val="18"/>
              </w:rPr>
            </w:pPr>
            <w:r>
              <w:rPr>
                <w:rFonts w:cs="Arial" w:ascii="Calibri" w:hAnsi="Calibri"/>
                <w:color w:val="000000"/>
                <w:sz w:val="18"/>
                <w:szCs w:val="18"/>
              </w:rPr>
              <w:t>60</w:t>
            </w:r>
          </w:p>
        </w:tc>
        <w:tc>
          <w:tcPr>
            <w:tcW w:w="1648" w:type="dxa"/>
            <w:tcBorders>
              <w:top w:val="single" w:sz="2" w:space="0" w:color="000000"/>
              <w:left w:val="single" w:sz="2" w:space="0" w:color="000000"/>
              <w:bottom w:val="single" w:sz="2" w:space="0" w:color="000000"/>
              <w:insideH w:val="single" w:sz="2" w:space="0" w:color="000000"/>
            </w:tcBorders>
            <w:shd w:fill="auto" w:val="clear"/>
            <w:vAlign w:val="center"/>
          </w:tcPr>
          <w:p>
            <w:pPr>
              <w:pStyle w:val="Normal"/>
              <w:widowControl w:val="false"/>
              <w:suppressAutoHyphens w:val="true"/>
              <w:spacing w:lineRule="auto" w:line="276" w:before="0" w:after="120"/>
              <w:jc w:val="center"/>
              <w:rPr>
                <w:rFonts w:ascii="Calibri" w:hAnsi="Calibri" w:cs="Arial"/>
                <w:color w:val="000000"/>
                <w:sz w:val="18"/>
                <w:szCs w:val="18"/>
              </w:rPr>
            </w:pPr>
            <w:r>
              <w:rPr>
                <w:rFonts w:cs="Arial" w:ascii="Calibri" w:hAnsi="Calibri"/>
                <w:color w:val="000000"/>
                <w:sz w:val="18"/>
                <w:szCs w:val="18"/>
              </w:rPr>
              <w:t>R$ 140,00</w:t>
            </w:r>
          </w:p>
        </w:tc>
        <w:tc>
          <w:tcPr>
            <w:tcW w:w="1952" w:type="dxa"/>
            <w:gridSpan w:val="2"/>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uppressAutoHyphens w:val="true"/>
              <w:spacing w:lineRule="auto" w:line="276" w:before="0" w:after="120"/>
              <w:jc w:val="center"/>
              <w:rPr>
                <w:rFonts w:ascii="Calibri" w:hAnsi="Calibri" w:cs="Arial"/>
                <w:color w:val="000000"/>
                <w:sz w:val="18"/>
                <w:szCs w:val="18"/>
              </w:rPr>
            </w:pPr>
            <w:r>
              <w:rPr>
                <w:rFonts w:cs="Arial" w:ascii="Calibri" w:hAnsi="Calibri"/>
                <w:color w:val="000000"/>
                <w:sz w:val="18"/>
                <w:szCs w:val="18"/>
              </w:rPr>
              <w:t>R$ 8.400,00</w:t>
            </w:r>
          </w:p>
        </w:tc>
      </w:tr>
      <w:tr>
        <w:trPr/>
        <w:tc>
          <w:tcPr>
            <w:tcW w:w="750" w:type="dxa"/>
            <w:tcBorders>
              <w:top w:val="single" w:sz="2" w:space="0" w:color="000000"/>
              <w:left w:val="single" w:sz="2" w:space="0" w:color="000000"/>
              <w:bottom w:val="single" w:sz="2" w:space="0" w:color="000000"/>
              <w:insideH w:val="single" w:sz="2" w:space="0" w:color="000000"/>
            </w:tcBorders>
            <w:shd w:fill="auto" w:val="clear"/>
            <w:vAlign w:val="center"/>
          </w:tcPr>
          <w:p>
            <w:pPr>
              <w:pStyle w:val="Normal"/>
              <w:widowControl w:val="false"/>
              <w:suppressAutoHyphens w:val="true"/>
              <w:spacing w:lineRule="auto" w:line="276" w:before="0" w:after="120"/>
              <w:jc w:val="center"/>
              <w:rPr>
                <w:rFonts w:ascii="Calibri" w:hAnsi="Calibri"/>
                <w:i w:val="false"/>
                <w:i w:val="false"/>
                <w:iCs w:val="false"/>
                <w:sz w:val="18"/>
                <w:szCs w:val="18"/>
              </w:rPr>
            </w:pPr>
            <w:r>
              <w:rPr>
                <w:rFonts w:cs="Arial" w:ascii="Calibri" w:hAnsi="Calibri"/>
                <w:b/>
                <w:i w:val="false"/>
                <w:iCs w:val="false"/>
                <w:color w:val="000000"/>
                <w:sz w:val="18"/>
                <w:szCs w:val="18"/>
              </w:rPr>
              <w:t>3</w:t>
            </w:r>
          </w:p>
        </w:tc>
        <w:tc>
          <w:tcPr>
            <w:tcW w:w="2535" w:type="dxa"/>
            <w:tcBorders>
              <w:top w:val="single" w:sz="2" w:space="0" w:color="000000"/>
              <w:left w:val="single" w:sz="2" w:space="0" w:color="000000"/>
              <w:bottom w:val="single" w:sz="2" w:space="0" w:color="000000"/>
              <w:insideH w:val="single" w:sz="2" w:space="0" w:color="000000"/>
            </w:tcBorders>
            <w:shd w:fill="auto" w:val="clear"/>
            <w:vAlign w:val="center"/>
          </w:tcPr>
          <w:p>
            <w:pPr>
              <w:pStyle w:val="NormalWeb"/>
              <w:widowControl w:val="false"/>
              <w:suppressAutoHyphens w:val="true"/>
              <w:spacing w:lineRule="auto" w:line="240" w:before="0" w:after="0"/>
              <w:rPr>
                <w:rFonts w:ascii="Calibri" w:hAnsi="Calibri" w:cs="Arial"/>
                <w:i w:val="false"/>
                <w:i w:val="false"/>
                <w:iCs w:val="false"/>
                <w:color w:val="FF0000"/>
                <w:sz w:val="18"/>
                <w:szCs w:val="18"/>
              </w:rPr>
            </w:pPr>
            <w:r>
              <w:rPr>
                <w:rFonts w:cs="Arial" w:ascii="Calibri" w:hAnsi="Calibri"/>
                <w:i w:val="false"/>
                <w:iCs w:val="false"/>
                <w:color w:val="000000"/>
                <w:spacing w:val="-9"/>
                <w:sz w:val="18"/>
                <w:szCs w:val="18"/>
                <w:shd w:fill="FFFFFF" w:val="clear"/>
              </w:rPr>
              <w:t>Ração animal para equinos com grãos e cereais com mínimo de 12% de proteína bruta, 7% de Extrato Etéreo, licia 0,5 e melaço máximo 6.</w:t>
            </w:r>
          </w:p>
        </w:tc>
        <w:tc>
          <w:tcPr>
            <w:tcW w:w="1065" w:type="dxa"/>
            <w:tcBorders>
              <w:top w:val="single" w:sz="2" w:space="0" w:color="000000"/>
              <w:left w:val="single" w:sz="2" w:space="0" w:color="000000"/>
              <w:bottom w:val="single" w:sz="2" w:space="0" w:color="000000"/>
              <w:insideH w:val="single" w:sz="2" w:space="0" w:color="000000"/>
            </w:tcBorders>
            <w:shd w:fill="auto" w:val="clear"/>
            <w:vAlign w:val="center"/>
          </w:tcPr>
          <w:p>
            <w:pPr>
              <w:pStyle w:val="Normal"/>
              <w:widowControl w:val="false"/>
              <w:suppressAutoHyphens w:val="true"/>
              <w:spacing w:lineRule="auto" w:line="240" w:before="0" w:after="0"/>
              <w:jc w:val="center"/>
              <w:rPr>
                <w:rFonts w:ascii="Calibri" w:hAnsi="Calibri" w:cs="Arial"/>
                <w:color w:val="000000"/>
                <w:sz w:val="18"/>
                <w:szCs w:val="18"/>
              </w:rPr>
            </w:pPr>
            <w:r>
              <w:rPr>
                <w:rFonts w:cs="Arial" w:ascii="Calibri" w:hAnsi="Calibri"/>
                <w:color w:val="000000"/>
                <w:sz w:val="18"/>
                <w:szCs w:val="18"/>
                <w:shd w:fill="FFFFFF" w:val="clear"/>
              </w:rPr>
              <w:t>452400</w:t>
            </w:r>
          </w:p>
        </w:tc>
        <w:tc>
          <w:tcPr>
            <w:tcW w:w="1032" w:type="dxa"/>
            <w:tcBorders>
              <w:top w:val="single" w:sz="2" w:space="0" w:color="000000"/>
              <w:left w:val="single" w:sz="2" w:space="0" w:color="000000"/>
              <w:bottom w:val="single" w:sz="2" w:space="0" w:color="000000"/>
              <w:insideH w:val="single" w:sz="2" w:space="0" w:color="000000"/>
            </w:tcBorders>
            <w:shd w:fill="auto" w:val="clear"/>
            <w:vAlign w:val="center"/>
          </w:tcPr>
          <w:p>
            <w:pPr>
              <w:pStyle w:val="Normal"/>
              <w:widowControl w:val="false"/>
              <w:suppressAutoHyphens w:val="true"/>
              <w:spacing w:lineRule="auto" w:line="240" w:before="0" w:after="0"/>
              <w:jc w:val="center"/>
              <w:rPr>
                <w:rFonts w:ascii="Calibri" w:hAnsi="Calibri" w:cs="Arial"/>
                <w:color w:val="000000"/>
                <w:sz w:val="18"/>
                <w:szCs w:val="18"/>
              </w:rPr>
            </w:pPr>
            <w:r>
              <w:rPr>
                <w:rFonts w:cs="Arial" w:ascii="Calibri" w:hAnsi="Calibri"/>
                <w:color w:val="000000"/>
                <w:sz w:val="18"/>
                <w:szCs w:val="18"/>
              </w:rPr>
              <w:t>Saco 30 Kg</w:t>
            </w:r>
          </w:p>
        </w:tc>
        <w:tc>
          <w:tcPr>
            <w:tcW w:w="797" w:type="dxa"/>
            <w:tcBorders>
              <w:top w:val="single" w:sz="2" w:space="0" w:color="000000"/>
              <w:left w:val="single" w:sz="2" w:space="0" w:color="000000"/>
              <w:bottom w:val="single" w:sz="2" w:space="0" w:color="000000"/>
              <w:insideH w:val="single" w:sz="2" w:space="0" w:color="000000"/>
            </w:tcBorders>
            <w:shd w:fill="auto" w:val="clear"/>
            <w:vAlign w:val="center"/>
          </w:tcPr>
          <w:p>
            <w:pPr>
              <w:pStyle w:val="Normal"/>
              <w:widowControl w:val="false"/>
              <w:suppressAutoHyphens w:val="true"/>
              <w:spacing w:lineRule="auto" w:line="240" w:before="0" w:after="0"/>
              <w:jc w:val="center"/>
              <w:rPr>
                <w:rFonts w:ascii="Calibri" w:hAnsi="Calibri" w:cs="Arial"/>
                <w:color w:val="000000"/>
                <w:sz w:val="18"/>
                <w:szCs w:val="18"/>
              </w:rPr>
            </w:pPr>
            <w:r>
              <w:rPr>
                <w:rFonts w:cs="Arial" w:ascii="Calibri" w:hAnsi="Calibri"/>
                <w:color w:val="000000"/>
                <w:sz w:val="18"/>
                <w:szCs w:val="18"/>
              </w:rPr>
              <w:t>60</w:t>
            </w:r>
          </w:p>
        </w:tc>
        <w:tc>
          <w:tcPr>
            <w:tcW w:w="1648" w:type="dxa"/>
            <w:tcBorders>
              <w:top w:val="single" w:sz="2" w:space="0" w:color="000000"/>
              <w:left w:val="single" w:sz="2" w:space="0" w:color="000000"/>
              <w:bottom w:val="single" w:sz="2" w:space="0" w:color="000000"/>
              <w:insideH w:val="single" w:sz="2" w:space="0" w:color="000000"/>
            </w:tcBorders>
            <w:shd w:fill="auto" w:val="clear"/>
            <w:vAlign w:val="center"/>
          </w:tcPr>
          <w:p>
            <w:pPr>
              <w:pStyle w:val="Normal"/>
              <w:widowControl w:val="false"/>
              <w:suppressAutoHyphens w:val="true"/>
              <w:spacing w:lineRule="auto" w:line="240" w:before="0" w:after="0"/>
              <w:jc w:val="center"/>
              <w:rPr>
                <w:rFonts w:ascii="Calibri" w:hAnsi="Calibri" w:cs="Arial"/>
                <w:color w:val="000000"/>
                <w:sz w:val="18"/>
                <w:szCs w:val="18"/>
              </w:rPr>
            </w:pPr>
            <w:r>
              <w:rPr>
                <w:rFonts w:cs="Arial" w:ascii="Calibri" w:hAnsi="Calibri"/>
                <w:color w:val="000000"/>
                <w:sz w:val="18"/>
                <w:szCs w:val="18"/>
              </w:rPr>
              <w:t>R$ 95,00</w:t>
            </w:r>
          </w:p>
        </w:tc>
        <w:tc>
          <w:tcPr>
            <w:tcW w:w="1952" w:type="dxa"/>
            <w:gridSpan w:val="2"/>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uppressAutoHyphens w:val="true"/>
              <w:spacing w:lineRule="auto" w:line="240" w:before="0" w:after="0"/>
              <w:jc w:val="center"/>
              <w:rPr>
                <w:rFonts w:ascii="Calibri" w:hAnsi="Calibri" w:cs="Arial"/>
                <w:color w:val="000000"/>
                <w:sz w:val="18"/>
                <w:szCs w:val="18"/>
              </w:rPr>
            </w:pPr>
            <w:r>
              <w:rPr>
                <w:rFonts w:cs="Arial" w:ascii="Calibri" w:hAnsi="Calibri"/>
                <w:color w:val="000000"/>
                <w:sz w:val="18"/>
                <w:szCs w:val="18"/>
              </w:rPr>
              <w:t>R$ 5.700,00</w:t>
            </w:r>
          </w:p>
        </w:tc>
      </w:tr>
      <w:tr>
        <w:trPr/>
        <w:tc>
          <w:tcPr>
            <w:tcW w:w="7829" w:type="dxa"/>
            <w:gridSpan w:val="7"/>
            <w:tcBorders>
              <w:top w:val="single" w:sz="2" w:space="0" w:color="000000"/>
              <w:left w:val="single" w:sz="2" w:space="0" w:color="000000"/>
              <w:bottom w:val="single" w:sz="2" w:space="0" w:color="000000"/>
              <w:insideH w:val="single" w:sz="2" w:space="0" w:color="000000"/>
            </w:tcBorders>
            <w:shd w:fill="auto" w:val="clear"/>
            <w:vAlign w:val="center"/>
          </w:tcPr>
          <w:p>
            <w:pPr>
              <w:pStyle w:val="Normal"/>
              <w:widowControl w:val="false"/>
              <w:suppressAutoHyphens w:val="true"/>
              <w:spacing w:lineRule="auto" w:line="276" w:before="0" w:after="120"/>
              <w:jc w:val="center"/>
              <w:rPr>
                <w:rFonts w:ascii="Calibri" w:hAnsi="Calibri"/>
                <w:i w:val="false"/>
                <w:i w:val="false"/>
                <w:iCs w:val="false"/>
                <w:sz w:val="18"/>
                <w:szCs w:val="18"/>
              </w:rPr>
            </w:pPr>
            <w:r>
              <w:rPr>
                <w:rFonts w:cs="Arial" w:ascii="Calibri" w:hAnsi="Calibri"/>
                <w:b/>
                <w:i w:val="false"/>
                <w:iCs w:val="false"/>
                <w:color w:val="000000"/>
                <w:sz w:val="18"/>
                <w:szCs w:val="18"/>
              </w:rPr>
              <w:t>TOTAL</w:t>
            </w:r>
          </w:p>
        </w:tc>
        <w:tc>
          <w:tcPr>
            <w:tcW w:w="1950"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uppressAutoHyphens w:val="true"/>
              <w:spacing w:lineRule="auto" w:line="276" w:before="0" w:after="120"/>
              <w:jc w:val="center"/>
              <w:rPr>
                <w:rFonts w:ascii="Calibri" w:hAnsi="Calibri" w:cs="Arial"/>
                <w:b/>
                <w:b/>
                <w:bCs/>
                <w:color w:val="000000"/>
                <w:sz w:val="18"/>
                <w:szCs w:val="18"/>
              </w:rPr>
            </w:pPr>
            <w:r>
              <w:rPr>
                <w:rFonts w:cs="Arial" w:ascii="Calibri" w:hAnsi="Calibri"/>
                <w:b/>
                <w:bCs/>
                <w:color w:val="000000"/>
                <w:sz w:val="18"/>
                <w:szCs w:val="18"/>
              </w:rPr>
              <w:t>R$ 21.000,00</w:t>
            </w:r>
          </w:p>
        </w:tc>
      </w:tr>
    </w:tbl>
    <w:p>
      <w:pPr>
        <w:pStyle w:val="PADRO"/>
        <w:keepNext w:val="false"/>
        <w:widowControl/>
        <w:numPr>
          <w:ilvl w:val="2"/>
          <w:numId w:val="1"/>
        </w:numPr>
        <w:shd w:val="clear" w:color="auto" w:fill="auto"/>
        <w:spacing w:before="120" w:after="120"/>
        <w:rPr/>
      </w:pPr>
      <w:r>
        <w:rPr>
          <w:rFonts w:cs="Arial" w:ascii="Calibri" w:hAnsi="Calibri"/>
          <w:sz w:val="20"/>
          <w:szCs w:val="20"/>
        </w:rPr>
        <w:t>Havendo mais de item ou lote faculta-se ao fornecedor a participação em quantos forem de seu interesse. Entretanto, optando-se por participar de um lote, deve o fornecedor enviar proposta para todos os itens que o compõem.</w:t>
      </w:r>
    </w:p>
    <w:p>
      <w:pPr>
        <w:pStyle w:val="PADRO"/>
        <w:keepNext w:val="false"/>
        <w:widowControl/>
        <w:numPr>
          <w:ilvl w:val="1"/>
          <w:numId w:val="1"/>
        </w:numPr>
        <w:shd w:val="clear" w:color="auto" w:fill="auto"/>
        <w:spacing w:before="120" w:after="120"/>
        <w:rPr/>
      </w:pPr>
      <w:r>
        <w:rPr>
          <w:rFonts w:cs="Arial" w:ascii="Calibri" w:hAnsi="Calibri"/>
          <w:sz w:val="20"/>
          <w:szCs w:val="20"/>
        </w:rPr>
        <w:t>O critério de julgamento adotado será o</w:t>
      </w:r>
      <w:r>
        <w:rPr>
          <w:rFonts w:cs="Arial" w:ascii="Calibri" w:hAnsi="Calibri"/>
          <w:i/>
          <w:iCs/>
          <w:sz w:val="20"/>
          <w:szCs w:val="20"/>
        </w:rPr>
        <w:t xml:space="preserve"> </w:t>
      </w:r>
      <w:r>
        <w:rPr>
          <w:rFonts w:cs="Arial" w:ascii="Calibri" w:hAnsi="Calibri"/>
          <w:b/>
          <w:bCs/>
          <w:i w:val="false"/>
          <w:iCs w:val="false"/>
          <w:color w:val="auto"/>
          <w:sz w:val="20"/>
          <w:szCs w:val="20"/>
        </w:rPr>
        <w:t>menor preço,</w:t>
      </w:r>
      <w:r>
        <w:rPr>
          <w:rFonts w:cs="Arial" w:ascii="Calibri" w:hAnsi="Calibri"/>
          <w:color w:val="FF0000"/>
          <w:sz w:val="20"/>
          <w:szCs w:val="20"/>
        </w:rPr>
        <w:t xml:space="preserve"> </w:t>
      </w:r>
      <w:r>
        <w:rPr>
          <w:rFonts w:cs="Arial" w:ascii="Calibri" w:hAnsi="Calibri"/>
          <w:sz w:val="20"/>
          <w:szCs w:val="20"/>
        </w:rPr>
        <w:t>observadas as exigências contidas neste Aviso de Contratação Direta e seus Anexos quanto às especificações do objeto.</w:t>
      </w:r>
    </w:p>
    <w:p>
      <w:pPr>
        <w:pStyle w:val="PADRO"/>
        <w:keepNext w:val="false"/>
        <w:widowControl/>
        <w:numPr>
          <w:ilvl w:val="0"/>
          <w:numId w:val="1"/>
        </w:numPr>
        <w:shd w:val="clear" w:color="auto" w:fill="auto"/>
        <w:spacing w:before="120" w:after="120"/>
        <w:rPr>
          <w:rFonts w:ascii="Arial" w:hAnsi="Arial" w:cs="Arial"/>
          <w:b/>
          <w:b/>
        </w:rPr>
      </w:pPr>
      <w:r>
        <w:rPr>
          <w:rFonts w:cs="Arial" w:ascii="Calibri" w:hAnsi="Calibri"/>
          <w:b/>
          <w:sz w:val="20"/>
          <w:szCs w:val="20"/>
        </w:rPr>
        <w:t>PARTICIPAÇÃO NA DISPENSA ELETRÔNICA.</w:t>
      </w:r>
    </w:p>
    <w:p>
      <w:pPr>
        <w:pStyle w:val="Normal"/>
        <w:numPr>
          <w:ilvl w:val="1"/>
          <w:numId w:val="1"/>
        </w:numPr>
        <w:snapToGrid w:val="false"/>
        <w:spacing w:lineRule="auto" w:line="276" w:before="120" w:after="120"/>
        <w:ind w:left="425" w:hanging="0"/>
        <w:jc w:val="both"/>
        <w:rPr/>
      </w:pPr>
      <w:r>
        <w:rPr>
          <w:rFonts w:cs="Arial" w:ascii="Calibri" w:hAnsi="Calibri"/>
          <w:sz w:val="20"/>
          <w:szCs w:val="20"/>
        </w:rPr>
        <w:t xml:space="preserve">A participação na presente dispensa eletrônica se dará mediante </w:t>
      </w:r>
      <w:r>
        <w:rPr>
          <w:rFonts w:cs="Arial" w:ascii="Calibri" w:hAnsi="Calibri"/>
          <w:bCs/>
          <w:sz w:val="20"/>
          <w:szCs w:val="20"/>
        </w:rPr>
        <w:t>Sistema de Dispensa Eletrônica</w:t>
      </w:r>
      <w:r>
        <w:rPr>
          <w:rFonts w:cs="Arial" w:ascii="Calibri" w:hAnsi="Calibri"/>
          <w:sz w:val="20"/>
          <w:szCs w:val="20"/>
        </w:rPr>
        <w:t xml:space="preserve"> integrante do Sistema de Compras do Governo Federal – Comprasnet 4.0, disponível no </w:t>
      </w:r>
      <w:r>
        <w:rPr>
          <w:rFonts w:cs="Arial" w:ascii="Calibri" w:hAnsi="Calibri"/>
          <w:bCs/>
          <w:sz w:val="20"/>
          <w:szCs w:val="20"/>
        </w:rPr>
        <w:t>endereço eletrônico</w:t>
      </w:r>
      <w:r>
        <w:rPr>
          <w:rFonts w:cs="Arial" w:ascii="Calibri" w:hAnsi="Calibri"/>
          <w:b/>
          <w:bCs/>
          <w:i w:val="false"/>
          <w:iCs w:val="false"/>
          <w:color w:val="auto"/>
          <w:sz w:val="20"/>
          <w:szCs w:val="20"/>
        </w:rPr>
        <w:t xml:space="preserve"> www.gov.br/compras.</w:t>
      </w:r>
    </w:p>
    <w:p>
      <w:pPr>
        <w:pStyle w:val="Normal"/>
        <w:numPr>
          <w:ilvl w:val="2"/>
          <w:numId w:val="1"/>
        </w:numPr>
        <w:snapToGrid w:val="false"/>
        <w:spacing w:lineRule="auto" w:line="276" w:before="120" w:after="120"/>
        <w:jc w:val="both"/>
        <w:rPr>
          <w:rFonts w:cs="Arial"/>
          <w:szCs w:val="20"/>
        </w:rPr>
      </w:pPr>
      <w:r>
        <w:rPr>
          <w:rFonts w:cs="Arial" w:ascii="Calibri" w:hAnsi="Calibri"/>
          <w:sz w:val="20"/>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Cs w:val="20"/>
        </w:rPr>
      </w:pPr>
      <w:r>
        <w:rPr>
          <w:rFonts w:cs="Arial" w:ascii="Calibri" w:hAnsi="Calibri"/>
          <w:sz w:val="20"/>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themeColor="text1"/>
          <w:szCs w:val="20"/>
        </w:rPr>
      </w:pPr>
      <w:r>
        <w:rPr>
          <w:rFonts w:cs="Arial" w:ascii="Calibri" w:hAnsi="Calibri"/>
          <w:color w:val="000000" w:themeColor="text1"/>
          <w:sz w:val="20"/>
          <w:szCs w:val="20"/>
        </w:rPr>
        <w:t>Não poderão participar desta dispensa os fornecedores:</w:t>
      </w:r>
    </w:p>
    <w:p>
      <w:pPr>
        <w:pStyle w:val="Normal"/>
        <w:numPr>
          <w:ilvl w:val="2"/>
          <w:numId w:val="1"/>
        </w:numPr>
        <w:spacing w:lineRule="auto" w:line="276" w:before="120" w:after="120"/>
        <w:jc w:val="both"/>
        <w:rPr>
          <w:rFonts w:cs="Arial"/>
          <w:color w:val="000000" w:themeColor="text1"/>
          <w:szCs w:val="20"/>
        </w:rPr>
      </w:pPr>
      <w:r>
        <w:rPr>
          <w:rFonts w:cs="Arial" w:ascii="Calibri" w:hAnsi="Calibri"/>
          <w:color w:val="000000" w:themeColor="text1"/>
          <w:sz w:val="20"/>
          <w:szCs w:val="20"/>
        </w:rPr>
        <w:t>que não atendam às condições deste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ascii="Calibri" w:hAnsi="Calibri"/>
          <w:color w:val="000000" w:themeColor="text1"/>
          <w:sz w:val="20"/>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themeColor="text1"/>
          <w:szCs w:val="20"/>
        </w:rPr>
      </w:pPr>
      <w:r>
        <w:rPr>
          <w:rFonts w:cs="Arial" w:ascii="Calibri" w:hAnsi="Calibri"/>
          <w:color w:val="000000" w:themeColor="text1"/>
          <w:sz w:val="20"/>
          <w:szCs w:val="20"/>
        </w:rPr>
        <w:t>que se enquadrem nas seguintes vedações:</w:t>
      </w:r>
    </w:p>
    <w:p>
      <w:pPr>
        <w:pStyle w:val="Normal"/>
        <w:numPr>
          <w:ilvl w:val="3"/>
          <w:numId w:val="4"/>
        </w:numPr>
        <w:spacing w:lineRule="auto" w:line="276" w:before="120" w:after="120"/>
        <w:jc w:val="both"/>
        <w:rPr>
          <w:rFonts w:cs="Arial"/>
          <w:color w:val="000000" w:themeColor="text1"/>
          <w:szCs w:val="20"/>
        </w:rPr>
      </w:pPr>
      <w:r>
        <w:rPr>
          <w:rFonts w:cs="Arial" w:ascii="Calibri" w:hAnsi="Calibri"/>
          <w:color w:val="000000"/>
          <w:sz w:val="20"/>
          <w:szCs w:val="20"/>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rFonts w:cs="Arial"/>
          <w:color w:val="000000" w:themeColor="text1"/>
          <w:szCs w:val="20"/>
        </w:rPr>
      </w:pPr>
      <w:r>
        <w:rPr>
          <w:rFonts w:cs="Arial" w:ascii="Calibri" w:hAnsi="Calibri"/>
          <w:color w:val="000000"/>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rFonts w:cs="Arial"/>
          <w:color w:val="000000" w:themeColor="text1"/>
          <w:szCs w:val="20"/>
        </w:rPr>
      </w:pPr>
      <w:r>
        <w:rPr>
          <w:rFonts w:cs="Arial" w:ascii="Calibri" w:hAnsi="Calibri"/>
          <w:color w:val="000000"/>
          <w:sz w:val="20"/>
          <w:szCs w:val="20"/>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rFonts w:cs="Arial"/>
          <w:color w:val="000000" w:themeColor="text1"/>
          <w:szCs w:val="20"/>
        </w:rPr>
      </w:pPr>
      <w:r>
        <w:rPr>
          <w:rFonts w:cs="Arial" w:ascii="Calibri" w:hAnsi="Calibri"/>
          <w:color w:val="000000"/>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pPr>
      <w:r>
        <w:rPr>
          <w:rFonts w:cs="Arial" w:ascii="Calibri" w:hAnsi="Calibri"/>
          <w:color w:val="000000"/>
          <w:sz w:val="20"/>
          <w:szCs w:val="20"/>
        </w:rPr>
        <w:t>empresas controladoras, controladas ou coligadas, nos termos da </w:t>
      </w:r>
      <w:hyperlink r:id="rId3">
        <w:r>
          <w:rPr>
            <w:rStyle w:val="LinkdaInternet"/>
            <w:rFonts w:eastAsia="Calibri" w:cs="Arial" w:ascii="Calibri" w:hAnsi="Calibri"/>
            <w:sz w:val="20"/>
            <w:szCs w:val="20"/>
          </w:rPr>
          <w:t>Lei nº 6.404, de 15 de dezembro de 1976</w:t>
        </w:r>
      </w:hyperlink>
      <w:r>
        <w:rPr>
          <w:rFonts w:cs="Arial" w:ascii="Calibri" w:hAnsi="Calibri"/>
          <w:color w:val="000000"/>
          <w:sz w:val="20"/>
          <w:szCs w:val="20"/>
        </w:rPr>
        <w:t>, concorrendo entre si;</w:t>
      </w:r>
    </w:p>
    <w:p>
      <w:pPr>
        <w:pStyle w:val="Normal"/>
        <w:numPr>
          <w:ilvl w:val="3"/>
          <w:numId w:val="4"/>
        </w:numPr>
        <w:spacing w:lineRule="auto" w:line="276" w:before="120" w:after="120"/>
        <w:jc w:val="both"/>
        <w:rPr>
          <w:rFonts w:cs="Arial"/>
          <w:color w:val="000000" w:themeColor="text1"/>
          <w:szCs w:val="20"/>
        </w:rPr>
      </w:pPr>
      <w:r>
        <w:rPr>
          <w:rFonts w:cs="Arial" w:ascii="Calibri" w:hAnsi="Calibri"/>
          <w:color w:val="000000"/>
          <w:sz w:val="2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themeColor="text1"/>
          <w:szCs w:val="20"/>
        </w:rPr>
      </w:pPr>
      <w:r>
        <w:rPr>
          <w:rFonts w:cs="Arial" w:ascii="Calibri" w:hAnsi="Calibri"/>
          <w:color w:val="000000"/>
          <w:sz w:val="20"/>
          <w:szCs w:val="20"/>
        </w:rPr>
        <w:t>Equiparam-se aos autores do projeto as empresas integrantes do mesmo grupo econômico;</w:t>
      </w:r>
    </w:p>
    <w:p>
      <w:pPr>
        <w:pStyle w:val="Normal"/>
        <w:numPr>
          <w:ilvl w:val="3"/>
          <w:numId w:val="1"/>
        </w:numPr>
        <w:spacing w:lineRule="auto" w:line="276" w:before="120" w:after="120"/>
        <w:jc w:val="both"/>
        <w:rPr>
          <w:rFonts w:cs="Arial"/>
          <w:color w:val="000000" w:themeColor="text1"/>
          <w:szCs w:val="20"/>
        </w:rPr>
      </w:pPr>
      <w:r>
        <w:rPr>
          <w:rFonts w:cs="Arial" w:ascii="Calibri" w:hAnsi="Calibri"/>
          <w:color w:val="000000"/>
          <w:sz w:val="2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val="000000" w:themeColor="text1"/>
          <w:szCs w:val="20"/>
        </w:rPr>
      </w:pPr>
      <w:r>
        <w:rPr>
          <w:rFonts w:cs="Arial" w:ascii="Calibri" w:hAnsi="Calibri"/>
          <w:color w:val="000000"/>
          <w:sz w:val="20"/>
          <w:szCs w:val="20"/>
        </w:rPr>
        <w:t>organizações da Sociedade Civil de Interesse Público - OSCIP, atuando nessa condição (Acórdão nº 746/2014-TCU-Plenário); e</w:t>
      </w:r>
    </w:p>
    <w:p>
      <w:pPr>
        <w:pStyle w:val="Normal"/>
        <w:numPr>
          <w:ilvl w:val="1"/>
          <w:numId w:val="1"/>
        </w:numPr>
        <w:spacing w:lineRule="auto" w:line="276" w:before="120" w:after="120"/>
        <w:jc w:val="both"/>
        <w:rPr>
          <w:i w:val="false"/>
          <w:i w:val="false"/>
          <w:iCs w:val="false"/>
          <w:color w:val="auto"/>
        </w:rPr>
      </w:pPr>
      <w:r>
        <w:rPr>
          <w:rFonts w:cs="Arial" w:ascii="Calibri" w:hAnsi="Calibri"/>
          <w:i w:val="false"/>
          <w:iCs w:val="false"/>
          <w:color w:val="auto"/>
          <w:sz w:val="20"/>
          <w:szCs w:val="20"/>
        </w:rPr>
        <w:t>Será permitida a participação de cooperativas, desde que apresentem demonstrativo de atuação em regime cooperado, com repartição de receitas e despesas entre os cooperados e atendam ao art. 16 da Lei nº 14.133/21.</w:t>
      </w:r>
    </w:p>
    <w:p>
      <w:pPr>
        <w:pStyle w:val="Normal"/>
        <w:numPr>
          <w:ilvl w:val="2"/>
          <w:numId w:val="1"/>
        </w:numPr>
        <w:spacing w:lineRule="auto" w:line="276" w:before="120" w:after="120"/>
        <w:jc w:val="both"/>
        <w:rPr>
          <w:i w:val="false"/>
          <w:i w:val="false"/>
          <w:iCs w:val="false"/>
          <w:color w:val="auto"/>
        </w:rPr>
      </w:pPr>
      <w:r>
        <w:rPr>
          <w:rFonts w:cs="Arial" w:ascii="Calibri" w:hAnsi="Calibri"/>
          <w:i w:val="false"/>
          <w:iCs w:val="false"/>
          <w:color w:val="auto"/>
          <w:sz w:val="20"/>
          <w:szCs w:val="20"/>
        </w:rPr>
        <w:t>Em sendo permitida a participação de cooperativas, serão estendidas a elas os benefícios previstos para as microempresas e empresas de pequeno porte quando elas atenderem ao disposto no art. 34 da Lei nº 11.488, de 15 de junho de 2007.</w:t>
      </w:r>
    </w:p>
    <w:p>
      <w:pPr>
        <w:pStyle w:val="PADRO"/>
        <w:keepNext w:val="false"/>
        <w:widowControl/>
        <w:numPr>
          <w:ilvl w:val="0"/>
          <w:numId w:val="1"/>
        </w:numPr>
        <w:shd w:val="clear" w:color="auto" w:fill="auto"/>
        <w:spacing w:before="120" w:after="120"/>
        <w:rPr/>
      </w:pPr>
      <w:r>
        <w:rPr>
          <w:rFonts w:cs="Arial" w:ascii="Calibri" w:hAnsi="Calibri"/>
          <w:b/>
          <w:sz w:val="20"/>
          <w:szCs w:val="20"/>
        </w:rPr>
        <w:t>INGRESSO NA DISPENSA ELETRÔNICA E CADASTRAMENTO DA PROPOSTA INICIAL</w:t>
      </w:r>
    </w:p>
    <w:p>
      <w:pPr>
        <w:pStyle w:val="Normal"/>
        <w:numPr>
          <w:ilvl w:val="1"/>
          <w:numId w:val="1"/>
        </w:numPr>
        <w:snapToGrid w:val="false"/>
        <w:spacing w:lineRule="auto" w:line="276" w:before="120" w:after="120"/>
        <w:ind w:left="425" w:hanging="0"/>
        <w:jc w:val="both"/>
        <w:rPr>
          <w:rFonts w:cs="Arial"/>
        </w:rPr>
      </w:pPr>
      <w:r>
        <w:rPr>
          <w:rFonts w:cs="Arial" w:ascii="Calibri" w:hAnsi="Calibri"/>
          <w:color w:val="000000" w:themeColor="text1"/>
          <w:sz w:val="20"/>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themeColor="text1"/>
          <w:szCs w:val="20"/>
        </w:rPr>
      </w:pPr>
      <w:r>
        <w:rPr>
          <w:rFonts w:cs="Arial" w:ascii="Calibri" w:hAnsi="Calibri"/>
          <w:color w:val="000000" w:themeColor="text1"/>
          <w:sz w:val="20"/>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Cs w:val="20"/>
        </w:rPr>
      </w:pPr>
      <w:r>
        <w:rPr>
          <w:rFonts w:cs="Arial" w:ascii="Calibri" w:hAnsi="Calibri"/>
          <w:sz w:val="20"/>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rFonts w:cs="Arial"/>
          <w:szCs w:val="20"/>
        </w:rPr>
      </w:pPr>
      <w:r>
        <w:rPr>
          <w:rFonts w:cs="Arial" w:ascii="Calibri" w:hAnsi="Calibri"/>
          <w:sz w:val="20"/>
          <w:szCs w:val="20"/>
        </w:rPr>
        <w:t xml:space="preserve">Todas as especificações do </w:t>
      </w:r>
      <w:r>
        <w:rPr>
          <w:rFonts w:cs="Arial" w:ascii="Calibri" w:hAnsi="Calibri"/>
          <w:color w:val="000000" w:themeColor="text1"/>
          <w:sz w:val="20"/>
          <w:szCs w:val="20"/>
        </w:rPr>
        <w:t>objeto</w:t>
      </w:r>
      <w:r>
        <w:rPr>
          <w:rFonts w:cs="Arial" w:ascii="Calibri" w:hAnsi="Calibri"/>
          <w:sz w:val="20"/>
          <w:szCs w:val="20"/>
        </w:rPr>
        <w:t xml:space="preserve"> contidas na proposta, em especial o preço, vinculam a Contratada.</w:t>
      </w:r>
    </w:p>
    <w:p>
      <w:pPr>
        <w:pStyle w:val="Normal"/>
        <w:numPr>
          <w:ilvl w:val="1"/>
          <w:numId w:val="1"/>
        </w:numPr>
        <w:spacing w:lineRule="auto" w:line="276" w:before="120" w:after="120"/>
        <w:ind w:left="425" w:hanging="0"/>
        <w:jc w:val="both"/>
        <w:rPr>
          <w:rFonts w:cs="Arial"/>
          <w:szCs w:val="20"/>
        </w:rPr>
      </w:pPr>
      <w:r>
        <w:rPr>
          <w:rFonts w:cs="Arial" w:ascii="Calibri" w:hAnsi="Calibri"/>
          <w:sz w:val="20"/>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Cs w:val="20"/>
        </w:rPr>
      </w:pPr>
      <w:r>
        <w:rPr>
          <w:rFonts w:cs="Arial" w:ascii="Calibri" w:hAnsi="Calibri"/>
          <w:sz w:val="20"/>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Cs w:val="20"/>
        </w:rPr>
      </w:pPr>
      <w:r>
        <w:rPr>
          <w:rFonts w:cs="Arial" w:ascii="Calibri" w:hAnsi="Calibri"/>
          <w:sz w:val="20"/>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cs="Arial"/>
          <w:szCs w:val="20"/>
        </w:rPr>
      </w:pPr>
      <w:r>
        <w:rPr>
          <w:rFonts w:cs="Arial" w:ascii="Calibri" w:hAnsi="Calibri"/>
          <w:sz w:val="20"/>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pPr>
      <w:r>
        <w:rPr>
          <w:rFonts w:cs="Arial" w:ascii="Calibri" w:hAnsi="Calibri"/>
          <w:sz w:val="20"/>
          <w:szCs w:val="20"/>
        </w:rPr>
        <w:t xml:space="preserve">A apresentação das propostas implica obrigatoriedade do cumprimento das disposições nelas contidas, em conformidade com o que dispõe o </w:t>
      </w:r>
      <w:r>
        <w:rPr>
          <w:rFonts w:cs="Arial" w:ascii="Calibri" w:hAnsi="Calibri"/>
          <w:i w:val="false"/>
          <w:iCs w:val="false"/>
          <w:color w:val="auto"/>
          <w:sz w:val="20"/>
          <w:szCs w:val="20"/>
        </w:rPr>
        <w:t>Termo de Referência,</w:t>
      </w:r>
      <w:r>
        <w:rPr>
          <w:rFonts w:cs="Arial" w:ascii="Calibri" w:hAnsi="Calibri"/>
          <w:sz w:val="20"/>
          <w:szCs w:val="20"/>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cs="Arial"/>
          <w:color w:val="000000" w:themeColor="text1"/>
          <w:szCs w:val="20"/>
        </w:rPr>
      </w:pPr>
      <w:r>
        <w:rPr>
          <w:rFonts w:cs="Arial" w:ascii="Calibri" w:hAnsi="Calibri"/>
          <w:sz w:val="20"/>
          <w:szCs w:val="20"/>
        </w:rPr>
        <w:t xml:space="preserve">Uma vez enviada a proposta no sistema, os fornecedores </w:t>
      </w:r>
      <w:r>
        <w:rPr>
          <w:rFonts w:cs="Arial" w:ascii="Calibri" w:hAnsi="Calibri"/>
          <w:b/>
          <w:bCs/>
          <w:sz w:val="20"/>
          <w:szCs w:val="20"/>
        </w:rPr>
        <w:t>NÃO</w:t>
      </w:r>
      <w:r>
        <w:rPr>
          <w:rFonts w:cs="Arial" w:ascii="Calibri" w:hAnsi="Calibri"/>
          <w:sz w:val="20"/>
          <w:szCs w:val="20"/>
        </w:rPr>
        <w:t xml:space="preserve"> poderão retirá-la, substituí-la ou modificá-la</w:t>
      </w:r>
      <w:r>
        <w:rPr>
          <w:rFonts w:cs="Arial" w:ascii="Calibri" w:hAnsi="Calibri"/>
          <w:color w:val="000000"/>
          <w:sz w:val="20"/>
          <w:szCs w:val="20"/>
        </w:rPr>
        <w:t>;</w:t>
      </w:r>
    </w:p>
    <w:p>
      <w:pPr>
        <w:pStyle w:val="Normal"/>
        <w:numPr>
          <w:ilvl w:val="1"/>
          <w:numId w:val="1"/>
        </w:numPr>
        <w:spacing w:lineRule="auto" w:line="276" w:before="120" w:after="120"/>
        <w:ind w:left="425" w:hanging="0"/>
        <w:jc w:val="both"/>
        <w:rPr/>
      </w:pPr>
      <w:r>
        <w:rPr>
          <w:rFonts w:cs="Arial" w:ascii="Calibri" w:hAnsi="Calibri"/>
          <w:color w:val="000000"/>
          <w:sz w:val="20"/>
          <w:szCs w:val="20"/>
        </w:rPr>
        <w:t xml:space="preserve">No cadastramento da proposta inicial, o fornecedor deverá, também, assinalar “sim” ou “não” em campo </w:t>
      </w:r>
      <w:r>
        <w:rPr>
          <w:rFonts w:cs="Arial" w:ascii="Calibri" w:hAnsi="Calibri"/>
          <w:sz w:val="20"/>
          <w:szCs w:val="20"/>
        </w:rPr>
        <w:t>próprio</w:t>
      </w:r>
      <w:r>
        <w:rPr>
          <w:rFonts w:cs="Arial" w:ascii="Calibri" w:hAnsi="Calibri"/>
          <w:color w:val="000000"/>
          <w:sz w:val="20"/>
          <w:szCs w:val="20"/>
        </w:rPr>
        <w:t xml:space="preserve"> do sistema eletrônico, às seguintes declarações:</w:t>
      </w:r>
      <w:r>
        <w:rPr>
          <w:rFonts w:eastAsia="Zurich BT" w:cs="Arial" w:ascii="Calibri" w:hAnsi="Calibri"/>
          <w:color w:val="000000"/>
          <w:sz w:val="20"/>
          <w:szCs w:val="20"/>
        </w:rPr>
        <w:t xml:space="preserve"> </w:t>
      </w:r>
    </w:p>
    <w:p>
      <w:pPr>
        <w:pStyle w:val="ListParagraph"/>
        <w:numPr>
          <w:ilvl w:val="0"/>
          <w:numId w:val="2"/>
        </w:numPr>
        <w:tabs>
          <w:tab w:val="left" w:pos="1440" w:leader="none"/>
        </w:tabs>
        <w:snapToGrid w:val="false"/>
        <w:spacing w:lineRule="auto" w:line="276" w:before="120" w:after="120"/>
        <w:contextualSpacing/>
        <w:jc w:val="both"/>
        <w:rPr>
          <w:rFonts w:ascii="Calibri" w:hAnsi="Calibri" w:cs="Arial"/>
          <w:bCs/>
          <w:vanish/>
          <w:color w:val="000000"/>
          <w:sz w:val="20"/>
          <w:szCs w:val="20"/>
        </w:rPr>
      </w:pPr>
      <w:r>
        <w:rPr>
          <w:rFonts w:cs="Arial" w:ascii="Calibri" w:hAnsi="Calibri"/>
          <w:bCs/>
          <w:vanish/>
          <w:color w:val="000000"/>
          <w:sz w:val="20"/>
          <w:szCs w:val="20"/>
        </w:rPr>
      </w:r>
    </w:p>
    <w:p>
      <w:pPr>
        <w:pStyle w:val="ListParagraph"/>
        <w:numPr>
          <w:ilvl w:val="1"/>
          <w:numId w:val="2"/>
        </w:numPr>
        <w:tabs>
          <w:tab w:val="left" w:pos="1440" w:leader="none"/>
        </w:tabs>
        <w:snapToGrid w:val="false"/>
        <w:spacing w:lineRule="auto" w:line="276" w:before="120" w:after="120"/>
        <w:contextualSpacing/>
        <w:jc w:val="both"/>
        <w:rPr>
          <w:rFonts w:ascii="Calibri" w:hAnsi="Calibri" w:cs="Arial"/>
          <w:bCs/>
          <w:vanish/>
          <w:color w:val="000000"/>
          <w:sz w:val="20"/>
          <w:szCs w:val="20"/>
        </w:rPr>
      </w:pPr>
      <w:r>
        <w:rPr>
          <w:rFonts w:cs="Arial" w:ascii="Calibri" w:hAnsi="Calibri"/>
          <w:bCs/>
          <w:vanish/>
          <w:color w:val="000000"/>
          <w:sz w:val="20"/>
          <w:szCs w:val="20"/>
        </w:rPr>
      </w:r>
    </w:p>
    <w:p>
      <w:pPr>
        <w:pStyle w:val="ListParagraph"/>
        <w:numPr>
          <w:ilvl w:val="1"/>
          <w:numId w:val="2"/>
        </w:numPr>
        <w:tabs>
          <w:tab w:val="left" w:pos="1440" w:leader="none"/>
        </w:tabs>
        <w:snapToGrid w:val="false"/>
        <w:spacing w:lineRule="auto" w:line="276" w:before="120" w:after="120"/>
        <w:contextualSpacing/>
        <w:jc w:val="both"/>
        <w:rPr>
          <w:rFonts w:ascii="Calibri" w:hAnsi="Calibri" w:cs="Arial"/>
          <w:bCs/>
          <w:vanish/>
          <w:color w:val="000000"/>
          <w:sz w:val="20"/>
          <w:szCs w:val="20"/>
        </w:rPr>
      </w:pPr>
      <w:r>
        <w:rPr>
          <w:rFonts w:cs="Arial" w:ascii="Calibri" w:hAnsi="Calibri"/>
          <w:bCs/>
          <w:vanish/>
          <w:color w:val="000000"/>
          <w:sz w:val="20"/>
          <w:szCs w:val="20"/>
        </w:rPr>
      </w:r>
    </w:p>
    <w:p>
      <w:pPr>
        <w:pStyle w:val="ListParagraph"/>
        <w:numPr>
          <w:ilvl w:val="1"/>
          <w:numId w:val="2"/>
        </w:numPr>
        <w:tabs>
          <w:tab w:val="left" w:pos="1440" w:leader="none"/>
        </w:tabs>
        <w:snapToGrid w:val="false"/>
        <w:spacing w:lineRule="auto" w:line="276" w:before="120" w:after="120"/>
        <w:contextualSpacing/>
        <w:jc w:val="both"/>
        <w:rPr>
          <w:rFonts w:ascii="Calibri" w:hAnsi="Calibri" w:cs="Arial"/>
          <w:bCs/>
          <w:vanish/>
          <w:color w:val="000000"/>
          <w:sz w:val="20"/>
          <w:szCs w:val="20"/>
        </w:rPr>
      </w:pPr>
      <w:r>
        <w:rPr>
          <w:rFonts w:cs="Arial" w:ascii="Calibri" w:hAnsi="Calibri"/>
          <w:bCs/>
          <w:vanish/>
          <w:color w:val="000000"/>
          <w:sz w:val="20"/>
          <w:szCs w:val="20"/>
        </w:rPr>
      </w:r>
    </w:p>
    <w:p>
      <w:pPr>
        <w:pStyle w:val="Normal"/>
        <w:numPr>
          <w:ilvl w:val="2"/>
          <w:numId w:val="1"/>
        </w:numPr>
        <w:spacing w:lineRule="auto" w:line="276" w:before="120" w:after="120"/>
        <w:jc w:val="both"/>
        <w:rPr>
          <w:rFonts w:cs="Arial"/>
          <w:color w:val="000000" w:themeColor="text1"/>
          <w:szCs w:val="20"/>
        </w:rPr>
      </w:pPr>
      <w:r>
        <w:rPr>
          <w:rFonts w:cs="Arial" w:ascii="Calibri" w:hAnsi="Calibri"/>
          <w:color w:val="000000" w:themeColor="text1"/>
          <w:sz w:val="20"/>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themeColor="text1"/>
          <w:szCs w:val="20"/>
        </w:rPr>
      </w:pPr>
      <w:r>
        <w:rPr>
          <w:rFonts w:cs="Arial" w:ascii="Calibri" w:hAnsi="Calibri"/>
          <w:color w:val="000000" w:themeColor="text1"/>
          <w:sz w:val="20"/>
          <w:szCs w:val="20"/>
        </w:rPr>
        <w:t xml:space="preserve">que </w:t>
      </w:r>
      <w:r>
        <w:rPr>
          <w:rFonts w:cs="Arial" w:ascii="Calibri" w:hAnsi="Calibri"/>
          <w:color w:val="000000"/>
          <w:sz w:val="20"/>
          <w:szCs w:val="20"/>
        </w:rPr>
        <w:t>cumpre</w:t>
      </w:r>
      <w:r>
        <w:rPr>
          <w:rFonts w:cs="Arial" w:ascii="Calibri" w:hAnsi="Calibri"/>
          <w:color w:val="000000" w:themeColor="text1"/>
          <w:sz w:val="20"/>
          <w:szCs w:val="20"/>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pPr>
      <w:r>
        <w:rPr>
          <w:rFonts w:cs="Arial" w:ascii="Calibri" w:hAnsi="Calibri"/>
          <w:color w:val="000000" w:themeColor="text1"/>
          <w:sz w:val="20"/>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ascii="Calibri" w:hAnsi="Calibri"/>
          <w:color w:val="000000" w:themeColor="text1"/>
          <w:sz w:val="20"/>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themeColor="text1"/>
          <w:szCs w:val="20"/>
        </w:rPr>
      </w:pPr>
      <w:r>
        <w:rPr>
          <w:rFonts w:cs="Arial" w:ascii="Calibri" w:hAnsi="Calibri"/>
          <w:color w:val="000000" w:themeColor="text1"/>
          <w:sz w:val="20"/>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cs="Arial"/>
          <w:color w:val="000000" w:themeColor="text1"/>
          <w:szCs w:val="20"/>
        </w:rPr>
      </w:pPr>
      <w:r>
        <w:rPr>
          <w:rFonts w:cs="Arial" w:ascii="Calibri" w:hAnsi="Calibri"/>
          <w:color w:val="000000" w:themeColor="text1"/>
          <w:sz w:val="20"/>
          <w:szCs w:val="20"/>
        </w:rPr>
        <w:t>que não emprega menor de 18 anos em trabalho noturno, perigoso ou insalubre e não emprega menor de 16 anos, salvo menor, a partir de 14 anos, na condição de aprendiz, nos termos do artigo 7°, XXXIII, da Constituição;</w:t>
      </w:r>
    </w:p>
    <w:p>
      <w:pPr>
        <w:pStyle w:val="PADRO"/>
        <w:keepNext w:val="false"/>
        <w:widowControl/>
        <w:numPr>
          <w:ilvl w:val="0"/>
          <w:numId w:val="1"/>
        </w:numPr>
        <w:shd w:val="clear" w:color="auto" w:fill="auto"/>
        <w:spacing w:before="120" w:after="120"/>
        <w:rPr/>
      </w:pPr>
      <w:r>
        <w:rPr>
          <w:rFonts w:cs="Arial" w:ascii="Calibri" w:hAnsi="Calibri"/>
          <w:b/>
          <w:sz w:val="20"/>
          <w:szCs w:val="20"/>
        </w:rPr>
        <w:t>FASE DE LANCES</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ascii="Calibri" w:hAnsi="Calibri"/>
          <w:color w:val="000000" w:themeColor="text1"/>
          <w:sz w:val="20"/>
          <w:szCs w:val="20"/>
          <w:lang w:eastAsia="en-US"/>
        </w:rPr>
        <w:t xml:space="preserve">A partir das 8:00h da data estabelecida neste Aviso de Contratação Direta, a sessão pública será automaticamente aberta pelo sistema para o envio de lances públicos e sucessivos, </w:t>
      </w:r>
      <w:r>
        <w:rPr>
          <w:rFonts w:cs="Arial" w:ascii="Calibri" w:hAnsi="Calibri"/>
          <w:bCs/>
          <w:sz w:val="20"/>
          <w:szCs w:val="20"/>
          <w:lang w:eastAsia="en-US"/>
        </w:rPr>
        <w:t>exclusivamente por meio do sistema eletrônico</w:t>
      </w:r>
      <w:r>
        <w:rPr>
          <w:rFonts w:cs="Arial" w:ascii="Calibri" w:hAnsi="Calibri"/>
          <w:sz w:val="20"/>
          <w:szCs w:val="20"/>
          <w:lang w:eastAsia="en-US"/>
        </w:rPr>
        <w:t xml:space="preserve">, </w:t>
      </w:r>
      <w:r>
        <w:rPr>
          <w:rFonts w:cs="Arial" w:ascii="Calibri" w:hAnsi="Calibri"/>
          <w:color w:val="000000" w:themeColor="text1"/>
          <w:sz w:val="20"/>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ascii="Calibri" w:hAnsi="Calibri"/>
          <w:color w:val="000000" w:themeColor="text1"/>
          <w:sz w:val="20"/>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i w:val="false"/>
          <w:i w:val="false"/>
          <w:iCs w:val="false"/>
          <w:color w:val="auto"/>
        </w:rPr>
      </w:pPr>
      <w:r>
        <w:rPr>
          <w:rFonts w:cs="Arial" w:ascii="Calibri" w:hAnsi="Calibri"/>
          <w:i w:val="false"/>
          <w:iCs w:val="false"/>
          <w:color w:val="auto"/>
          <w:sz w:val="20"/>
          <w:szCs w:val="20"/>
        </w:rPr>
        <w:t>O</w:t>
      </w:r>
      <w:r>
        <w:rPr>
          <w:rFonts w:cs="Arial" w:ascii="Calibri" w:hAnsi="Calibri"/>
          <w:b/>
          <w:bCs/>
          <w:i w:val="false"/>
          <w:iCs w:val="false"/>
          <w:color w:val="auto"/>
          <w:sz w:val="20"/>
          <w:szCs w:val="20"/>
        </w:rPr>
        <w:t xml:space="preserve"> lance deverá ser ofertado pelo valor total do item.</w:t>
      </w:r>
    </w:p>
    <w:p>
      <w:pPr>
        <w:pStyle w:val="ListParagraph"/>
        <w:numPr>
          <w:ilvl w:val="0"/>
          <w:numId w:val="0"/>
        </w:numPr>
        <w:spacing w:lineRule="auto" w:line="276" w:before="120" w:after="120"/>
        <w:ind w:left="1944" w:hanging="0"/>
        <w:contextualSpacing/>
        <w:jc w:val="both"/>
        <w:rPr>
          <w:rFonts w:ascii="Calibri" w:hAnsi="Calibri" w:cs="Arial"/>
          <w:b/>
          <w:b/>
          <w:bCs/>
          <w:sz w:val="20"/>
          <w:szCs w:val="20"/>
        </w:rPr>
      </w:pPr>
      <w:r>
        <w:rPr>
          <w:rFonts w:cs="Arial" w:ascii="Calibri" w:hAnsi="Calibri"/>
          <w:b/>
          <w:bCs/>
          <w:sz w:val="20"/>
          <w:szCs w:val="20"/>
        </w:rPr>
      </w:r>
    </w:p>
    <w:p>
      <w:pPr>
        <w:pStyle w:val="ListParagraph"/>
        <w:numPr>
          <w:ilvl w:val="1"/>
          <w:numId w:val="1"/>
        </w:numPr>
        <w:spacing w:lineRule="auto" w:line="276" w:before="120" w:after="120"/>
        <w:contextualSpacing/>
        <w:jc w:val="both"/>
        <w:rPr/>
      </w:pPr>
      <w:r>
        <w:rPr>
          <w:rFonts w:cs="Arial" w:ascii="Calibri" w:hAnsi="Calibri"/>
          <w:color w:val="000000" w:themeColor="text1"/>
          <w:sz w:val="20"/>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ascii="Calibri" w:hAnsi="Calibri"/>
          <w:color w:val="000000" w:themeColor="text1"/>
          <w:sz w:val="20"/>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pPr>
      <w:r>
        <w:rPr>
          <w:rFonts w:cs="Arial" w:ascii="Calibri" w:hAnsi="Calibri"/>
          <w:sz w:val="20"/>
          <w:szCs w:val="20"/>
        </w:rPr>
        <w:t>O intervalo mínimo de diferença de valores ou percentuais entre os lances, que incidirá tanto em relação aos lances intermediários quanto em relação ao que cobrir a melhor oferta é de R$0,01 (um centavo).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ascii="Calibri" w:hAnsi="Calibri"/>
          <w:color w:val="000000" w:themeColor="text1"/>
          <w:sz w:val="20"/>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ascii="Calibri" w:hAnsi="Calibri"/>
          <w:color w:val="000000" w:themeColor="text1"/>
          <w:sz w:val="20"/>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ascii="Calibri" w:hAnsi="Calibri"/>
          <w:color w:val="000000" w:themeColor="text1"/>
          <w:sz w:val="20"/>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ascii="Calibri" w:hAnsi="Calibri"/>
          <w:color w:val="000000" w:themeColor="text1"/>
          <w:sz w:val="20"/>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rPr>
      </w:pPr>
      <w:r>
        <w:rPr>
          <w:rFonts w:cs="Arial" w:ascii="Calibri" w:hAnsi="Calibri"/>
          <w:color w:val="000000" w:themeColor="text1"/>
          <w:sz w:val="20"/>
          <w:szCs w:val="20"/>
          <w:lang w:eastAsia="en-US"/>
        </w:rPr>
        <w:t>O encerramento da fase de lances ocorrerá de forma automática pontualmente no horário indicado, sem qualquer possibilidade de prorrogação e não havendo tempo aleatório ou mecanismo similar.</w:t>
      </w:r>
    </w:p>
    <w:p>
      <w:pPr>
        <w:pStyle w:val="PADRO"/>
        <w:keepNext w:val="false"/>
        <w:widowControl/>
        <w:numPr>
          <w:ilvl w:val="0"/>
          <w:numId w:val="1"/>
        </w:numPr>
        <w:shd w:val="clear" w:color="auto" w:fill="auto"/>
        <w:spacing w:before="120" w:after="120"/>
        <w:rPr>
          <w:rFonts w:ascii="Arial" w:hAnsi="Arial" w:cs="Arial"/>
          <w:b/>
          <w:b/>
        </w:rPr>
      </w:pPr>
      <w:r>
        <w:rPr>
          <w:rFonts w:cs="Arial" w:ascii="Calibri" w:hAnsi="Calibri"/>
          <w:b/>
          <w:sz w:val="20"/>
          <w:szCs w:val="20"/>
        </w:rPr>
        <w:t>JULGAMENTO DAS PROPOSTAS DE PREÇO</w:t>
      </w:r>
    </w:p>
    <w:p>
      <w:pPr>
        <w:pStyle w:val="ListParagraph"/>
        <w:numPr>
          <w:ilvl w:val="1"/>
          <w:numId w:val="1"/>
        </w:numPr>
        <w:spacing w:lineRule="auto" w:line="276" w:before="120" w:after="120"/>
        <w:contextualSpacing/>
        <w:jc w:val="both"/>
        <w:rPr>
          <w:rFonts w:cs="Arial"/>
        </w:rPr>
      </w:pPr>
      <w:r>
        <w:rPr>
          <w:rFonts w:cs="Arial" w:ascii="Calibri" w:hAnsi="Calibri"/>
          <w:sz w:val="20"/>
          <w:szCs w:val="20"/>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rPr>
      </w:pPr>
      <w:r>
        <w:rPr>
          <w:rFonts w:cs="Arial" w:ascii="Calibri" w:hAnsi="Calibri"/>
          <w:sz w:val="20"/>
          <w:szCs w:val="20"/>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cs="Arial"/>
        </w:rPr>
      </w:pPr>
      <w:r>
        <w:rPr>
          <w:rFonts w:cs="Arial" w:ascii="Calibri" w:hAnsi="Calibri"/>
          <w:color w:val="000000"/>
          <w:sz w:val="2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cs="Arial"/>
        </w:rPr>
      </w:pPr>
      <w:r>
        <w:rPr>
          <w:rFonts w:cs="Arial" w:ascii="Calibri" w:hAnsi="Calibri"/>
          <w:sz w:val="20"/>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cs="Arial"/>
        </w:rPr>
      </w:pPr>
      <w:r>
        <w:rPr>
          <w:rFonts w:cs="Arial" w:ascii="Calibri" w:hAnsi="Calibri"/>
          <w:sz w:val="20"/>
          <w:szCs w:val="20"/>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cs="Arial"/>
        </w:rPr>
      </w:pPr>
      <w:r>
        <w:rPr>
          <w:rFonts w:cs="Arial" w:ascii="Calibri" w:hAnsi="Calibri"/>
          <w:sz w:val="20"/>
          <w:szCs w:val="20"/>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pPr>
      <w:r>
        <w:rPr>
          <w:rFonts w:cs="Arial" w:ascii="Calibri" w:hAnsi="Calibri"/>
          <w:color w:val="000000" w:themeColor="text1"/>
          <w:sz w:val="20"/>
          <w:szCs w:val="20"/>
        </w:rPr>
        <w:t xml:space="preserve">O prazo de validade </w:t>
      </w:r>
      <w:r>
        <w:rPr>
          <w:rFonts w:cs="Arial" w:ascii="Calibri" w:hAnsi="Calibri"/>
          <w:sz w:val="20"/>
          <w:szCs w:val="20"/>
        </w:rPr>
        <w:t>da</w:t>
      </w:r>
      <w:r>
        <w:rPr>
          <w:rFonts w:cs="Arial" w:ascii="Calibri" w:hAnsi="Calibri"/>
          <w:color w:val="000000" w:themeColor="text1"/>
          <w:sz w:val="20"/>
          <w:szCs w:val="20"/>
        </w:rPr>
        <w:t xml:space="preserve"> proposta não será inferior a 60</w:t>
      </w:r>
      <w:r>
        <w:rPr>
          <w:rFonts w:cs="Arial" w:ascii="Calibri" w:hAnsi="Calibri"/>
          <w:color w:val="FF0000"/>
          <w:sz w:val="20"/>
          <w:szCs w:val="20"/>
        </w:rPr>
        <w:t xml:space="preserve"> </w:t>
      </w:r>
      <w:r>
        <w:rPr>
          <w:rFonts w:cs="Arial" w:ascii="Calibri" w:hAnsi="Calibri"/>
          <w:color w:val="auto"/>
          <w:sz w:val="20"/>
          <w:szCs w:val="20"/>
        </w:rPr>
        <w:t>(sessenta)</w:t>
      </w:r>
      <w:r>
        <w:rPr>
          <w:rFonts w:cs="Arial" w:ascii="Calibri" w:hAnsi="Calibri"/>
          <w:color w:val="000000" w:themeColor="text1"/>
          <w:sz w:val="20"/>
          <w:szCs w:val="20"/>
        </w:rPr>
        <w:t xml:space="preserve"> dias</w:t>
      </w:r>
      <w:r>
        <w:rPr>
          <w:rFonts w:cs="Arial" w:ascii="Calibri" w:hAnsi="Calibri"/>
          <w:b/>
          <w:bCs/>
          <w:color w:val="000000" w:themeColor="text1"/>
          <w:sz w:val="20"/>
          <w:szCs w:val="20"/>
        </w:rPr>
        <w:t>,</w:t>
      </w:r>
      <w:r>
        <w:rPr>
          <w:rFonts w:cs="Arial" w:ascii="Calibri" w:hAnsi="Calibri"/>
          <w:color w:val="000000" w:themeColor="text1"/>
          <w:sz w:val="20"/>
          <w:szCs w:val="20"/>
        </w:rPr>
        <w:t xml:space="preserve"> a contar da data de sua apresentação.</w:t>
      </w:r>
    </w:p>
    <w:p>
      <w:pPr>
        <w:pStyle w:val="ListParagraph"/>
        <w:numPr>
          <w:ilvl w:val="1"/>
          <w:numId w:val="1"/>
        </w:numPr>
        <w:spacing w:lineRule="auto" w:line="276" w:before="120" w:after="120"/>
        <w:contextualSpacing/>
        <w:jc w:val="both"/>
        <w:rPr/>
      </w:pPr>
      <w:r>
        <w:rPr>
          <w:rFonts w:cs="Arial" w:ascii="Calibri" w:hAnsi="Calibri"/>
          <w:color w:val="000000" w:themeColor="text1"/>
          <w:sz w:val="20"/>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cs="Arial"/>
          <w:i/>
          <w:i/>
          <w:color w:val="000000" w:themeColor="text1"/>
          <w:szCs w:val="20"/>
        </w:rPr>
      </w:pPr>
      <w:r>
        <w:rPr>
          <w:rFonts w:cs="Arial" w:ascii="Calibri" w:hAnsi="Calibri"/>
          <w:color w:val="000000"/>
          <w:sz w:val="20"/>
          <w:szCs w:val="20"/>
        </w:rPr>
        <w:t>contiver vícios insanáveis</w:t>
      </w:r>
      <w:r>
        <w:rPr>
          <w:rFonts w:cs="Arial" w:ascii="Calibri" w:hAnsi="Calibri"/>
          <w:iCs/>
          <w:color w:val="000000" w:themeColor="text1"/>
          <w:sz w:val="20"/>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ascii="Calibri" w:hAnsi="Calibri"/>
          <w:color w:val="000000"/>
          <w:sz w:val="20"/>
          <w:szCs w:val="20"/>
        </w:rPr>
        <w:t>não obedecer às especificações técnicas pormenorizadas neste aviso ou em seus anexos</w:t>
      </w:r>
      <w:r>
        <w:rPr>
          <w:rFonts w:cs="Arial" w:ascii="Calibri" w:hAnsi="Calibri"/>
          <w:iCs/>
          <w:color w:val="000000" w:themeColor="text1"/>
          <w:sz w:val="20"/>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ascii="Calibri" w:hAnsi="Calibri"/>
          <w:color w:val="000000"/>
          <w:sz w:val="20"/>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cs="Arial"/>
          <w:i/>
          <w:i/>
          <w:color w:val="000000" w:themeColor="text1"/>
          <w:szCs w:val="20"/>
        </w:rPr>
      </w:pPr>
      <w:r>
        <w:rPr>
          <w:rFonts w:cs="Arial" w:ascii="Calibri" w:hAnsi="Calibri"/>
          <w:color w:val="000000"/>
          <w:sz w:val="20"/>
          <w:szCs w:val="20"/>
        </w:rPr>
        <w:t>não tiverem sua exequibilidade demonstrada, quando exigido pela Administração</w:t>
      </w:r>
      <w:r>
        <w:rPr>
          <w:rFonts w:cs="Arial" w:ascii="Calibri" w:hAnsi="Calibri"/>
          <w:iCs/>
          <w:color w:val="000000" w:themeColor="text1"/>
          <w:sz w:val="20"/>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ascii="Calibri" w:hAnsi="Calibri"/>
          <w:color w:val="000000"/>
          <w:sz w:val="2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cs="Arial"/>
          <w:i/>
          <w:i/>
          <w:color w:val="000000" w:themeColor="text1"/>
          <w:szCs w:val="20"/>
        </w:rPr>
      </w:pPr>
      <w:r>
        <w:rPr>
          <w:rFonts w:cs="Arial" w:ascii="Calibri" w:hAnsi="Calibri"/>
          <w:color w:val="000000" w:themeColor="text1"/>
          <w:sz w:val="20"/>
          <w:szCs w:val="20"/>
          <w:lang w:eastAsia="en-US"/>
        </w:rPr>
        <w:t>Quando</w:t>
      </w:r>
      <w:r>
        <w:rPr>
          <w:rFonts w:cs="Arial" w:ascii="Calibri" w:hAnsi="Calibri"/>
          <w:sz w:val="20"/>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i/>
          <w:i/>
          <w:color w:val="000000" w:themeColor="text1"/>
          <w:szCs w:val="20"/>
        </w:rPr>
      </w:pPr>
      <w:r>
        <w:rPr>
          <w:rFonts w:cs="Arial" w:ascii="Calibri" w:hAnsi="Calibri"/>
          <w:sz w:val="20"/>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cs="Arial"/>
          <w:color w:val="000000" w:themeColor="text1"/>
          <w:szCs w:val="20"/>
        </w:rPr>
      </w:pPr>
      <w:r>
        <w:rPr>
          <w:rFonts w:cs="Arial" w:ascii="Calibri" w:hAnsi="Calibri"/>
          <w:sz w:val="20"/>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pPr>
      <w:r>
        <w:rPr>
          <w:rFonts w:cs="Arial" w:ascii="Calibri" w:hAnsi="Calibri"/>
          <w:color w:val="000000" w:themeColor="text1"/>
          <w:sz w:val="20"/>
          <w:szCs w:val="20"/>
          <w:lang w:eastAsia="en-US"/>
        </w:rPr>
        <w:t xml:space="preserve">Se houver indícios de inexequibilidade da proposta de preço, ou em caso da necessidade de esclarecimentos </w:t>
      </w:r>
      <w:r>
        <w:rPr>
          <w:rFonts w:cs="Arial" w:ascii="Calibri" w:hAnsi="Calibri"/>
          <w:sz w:val="20"/>
          <w:szCs w:val="20"/>
        </w:rPr>
        <w:t>complementares</w:t>
      </w:r>
      <w:r>
        <w:rPr>
          <w:rFonts w:cs="Arial" w:ascii="Calibri" w:hAnsi="Calibri"/>
          <w:color w:val="000000" w:themeColor="text1"/>
          <w:sz w:val="20"/>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ascii="Calibri" w:hAnsi="Calibri"/>
          <w:color w:val="000000" w:themeColor="text1"/>
          <w:sz w:val="20"/>
          <w:szCs w:val="20"/>
          <w:lang w:eastAsia="en-US"/>
        </w:rPr>
        <w:t xml:space="preserve">Erros no preenchimento da planilha não constituem motivo para a desclassificação da proposta. A planilha </w:t>
      </w:r>
      <w:r>
        <w:rPr>
          <w:rFonts w:cs="Arial" w:ascii="Calibri" w:hAnsi="Calibri"/>
          <w:sz w:val="20"/>
          <w:szCs w:val="20"/>
        </w:rPr>
        <w:t>poderá</w:t>
      </w:r>
      <w:r>
        <w:rPr>
          <w:rFonts w:cs="Arial" w:ascii="Calibri" w:hAnsi="Calibri"/>
          <w:color w:val="000000" w:themeColor="text1"/>
          <w:sz w:val="20"/>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ascii="Calibri" w:hAnsi="Calibri"/>
          <w:color w:val="000000" w:themeColor="text1"/>
          <w:sz w:val="20"/>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ascii="Calibri" w:hAnsi="Calibri"/>
          <w:color w:val="000000" w:themeColor="text1"/>
          <w:sz w:val="20"/>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ascii="Calibri" w:hAnsi="Calibri"/>
          <w:color w:val="000000" w:themeColor="text1"/>
          <w:sz w:val="20"/>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ascii="Calibri" w:hAnsi="Calibri"/>
          <w:color w:val="000000" w:themeColor="text1"/>
          <w:sz w:val="20"/>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ascii="Calibri" w:hAnsi="Calibri"/>
          <w:color w:val="000000" w:themeColor="text1"/>
          <w:sz w:val="20"/>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ascii="Calibri" w:hAnsi="Calibri"/>
          <w:color w:val="000000" w:themeColor="text1"/>
          <w:sz w:val="20"/>
          <w:szCs w:val="20"/>
          <w:lang w:eastAsia="en-US"/>
        </w:rPr>
        <w:t>Encerrada a análise quanto à aceitação da proposta, se iniciará a fase de habilitação, observado o disposto neste Aviso de Contratação Direta. </w:t>
      </w:r>
    </w:p>
    <w:p>
      <w:pPr>
        <w:pStyle w:val="PADRO"/>
        <w:keepNext w:val="false"/>
        <w:widowControl/>
        <w:numPr>
          <w:ilvl w:val="0"/>
          <w:numId w:val="1"/>
        </w:numPr>
        <w:shd w:val="clear" w:color="auto" w:fill="auto"/>
        <w:spacing w:before="120" w:after="120"/>
        <w:rPr>
          <w:rFonts w:ascii="Arial" w:hAnsi="Arial" w:cs="Arial"/>
          <w:b/>
          <w:b/>
        </w:rPr>
      </w:pPr>
      <w:r>
        <w:rPr>
          <w:rFonts w:cs="Arial" w:ascii="Calibri" w:hAnsi="Calibri"/>
          <w:b/>
          <w:sz w:val="20"/>
          <w:szCs w:val="20"/>
        </w:rPr>
        <w:t>HABILITAÇÃO</w:t>
      </w:r>
    </w:p>
    <w:p>
      <w:pPr>
        <w:pStyle w:val="ListParagraph"/>
        <w:numPr>
          <w:ilvl w:val="1"/>
          <w:numId w:val="1"/>
        </w:numPr>
        <w:spacing w:lineRule="auto" w:line="276" w:before="120" w:after="120"/>
        <w:ind w:left="792" w:hanging="574"/>
        <w:contextualSpacing/>
        <w:jc w:val="both"/>
        <w:rPr>
          <w:rFonts w:cs="Arial"/>
          <w:b/>
          <w:b/>
          <w:szCs w:val="20"/>
          <w:lang w:eastAsia="ar-SA"/>
        </w:rPr>
      </w:pPr>
      <w:r>
        <w:rPr>
          <w:rFonts w:cs="Arial" w:ascii="Calibri" w:hAnsi="Calibri"/>
          <w:sz w:val="20"/>
          <w:szCs w:val="20"/>
          <w:lang w:eastAsia="ar-SA"/>
        </w:rPr>
        <w:t xml:space="preserve">Os </w:t>
      </w:r>
      <w:r>
        <w:rPr>
          <w:rFonts w:cs="Arial" w:ascii="Calibri" w:hAnsi="Calibri"/>
          <w:color w:val="000000"/>
          <w:sz w:val="20"/>
          <w:szCs w:val="20"/>
        </w:rPr>
        <w:t>documentos</w:t>
      </w:r>
      <w:r>
        <w:rPr>
          <w:rFonts w:cs="Arial" w:ascii="Calibri" w:hAnsi="Calibri"/>
          <w:sz w:val="20"/>
          <w:szCs w:val="20"/>
          <w:lang w:eastAsia="ar-SA"/>
        </w:rPr>
        <w:t xml:space="preserve"> a serem exigidos para fins de habilitação constam do </w:t>
      </w:r>
      <w:r>
        <w:rPr>
          <w:rFonts w:cs="Arial" w:ascii="Calibri" w:hAnsi="Calibri"/>
          <w:b/>
          <w:sz w:val="20"/>
          <w:szCs w:val="20"/>
          <w:lang w:eastAsia="ar-SA"/>
        </w:rPr>
        <w:t xml:space="preserve">ANEXO I – DOCUMENTAÇÃO EXIGIDA PARA HABILITAÇÃO </w:t>
      </w:r>
      <w:r>
        <w:rPr>
          <w:rFonts w:cs="Arial" w:ascii="Calibri" w:hAnsi="Calibri"/>
          <w:sz w:val="20"/>
          <w:szCs w:val="20"/>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rFonts w:cs="Arial"/>
          <w:b/>
          <w:b/>
          <w:szCs w:val="20"/>
          <w:lang w:eastAsia="ar-SA"/>
        </w:rPr>
      </w:pPr>
      <w:r>
        <w:rPr>
          <w:rFonts w:cs="Arial" w:ascii="Calibri" w:hAnsi="Calibri"/>
          <w:sz w:val="20"/>
          <w:szCs w:val="20"/>
          <w:lang w:eastAsia="ar-SA"/>
        </w:rPr>
        <w:t xml:space="preserve">Como </w:t>
      </w:r>
      <w:r>
        <w:rPr>
          <w:rFonts w:cs="Arial" w:ascii="Calibri" w:hAnsi="Calibri"/>
          <w:color w:val="000000"/>
          <w:sz w:val="20"/>
          <w:szCs w:val="20"/>
        </w:rPr>
        <w:t>condição</w:t>
      </w:r>
      <w:r>
        <w:rPr>
          <w:rFonts w:cs="Arial" w:ascii="Calibri" w:hAnsi="Calibri"/>
          <w:sz w:val="20"/>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cs="Arial"/>
          <w:szCs w:val="20"/>
          <w:lang w:eastAsia="ar-SA"/>
        </w:rPr>
      </w:pPr>
      <w:r>
        <w:rPr>
          <w:rFonts w:cs="Arial" w:ascii="Calibri" w:hAnsi="Calibri"/>
          <w:sz w:val="20"/>
          <w:szCs w:val="20"/>
          <w:lang w:eastAsia="ar-SA"/>
        </w:rPr>
        <w:t xml:space="preserve">a) SICAF;  </w:t>
      </w:r>
    </w:p>
    <w:p>
      <w:pPr>
        <w:pStyle w:val="ListParagraph"/>
        <w:spacing w:lineRule="auto" w:line="276" w:before="120" w:after="120"/>
        <w:ind w:left="1134" w:hanging="0"/>
        <w:contextualSpacing/>
        <w:jc w:val="both"/>
        <w:rPr/>
      </w:pPr>
      <w:r>
        <w:rPr>
          <w:rFonts w:cs="Arial" w:ascii="Calibri" w:hAnsi="Calibri"/>
          <w:sz w:val="20"/>
          <w:szCs w:val="20"/>
          <w:lang w:eastAsia="ar-SA"/>
        </w:rPr>
        <w:t>b) Cadastro Nacional de Empresas Inidôneas e Suspensas - CEIS, mantido pela Controladoria-Geral da União (</w:t>
      </w:r>
      <w:hyperlink r:id="rId4">
        <w:r>
          <w:rPr>
            <w:rStyle w:val="LinkdaInternet"/>
            <w:rFonts w:eastAsia="Calibri" w:cs="Arial" w:ascii="Calibri" w:hAnsi="Calibri"/>
            <w:sz w:val="20"/>
            <w:szCs w:val="20"/>
            <w:lang w:eastAsia="ar-SA"/>
          </w:rPr>
          <w:t>www.portaldatransparencia.gov.br/ceis</w:t>
        </w:r>
      </w:hyperlink>
      <w:r>
        <w:rPr>
          <w:rFonts w:cs="Arial" w:ascii="Calibri" w:hAnsi="Calibri"/>
          <w:sz w:val="20"/>
          <w:szCs w:val="20"/>
          <w:lang w:eastAsia="ar-SA"/>
        </w:rPr>
        <w:t xml:space="preserve">);  </w:t>
      </w:r>
    </w:p>
    <w:p>
      <w:pPr>
        <w:pStyle w:val="ListParagraph"/>
        <w:spacing w:lineRule="auto" w:line="276" w:before="120" w:after="120"/>
        <w:ind w:left="1134" w:hanging="0"/>
        <w:contextualSpacing/>
        <w:jc w:val="both"/>
        <w:rPr/>
      </w:pPr>
      <w:r>
        <w:rPr>
          <w:rFonts w:cs="Arial" w:ascii="Calibri" w:hAnsi="Calibri"/>
          <w:sz w:val="20"/>
          <w:szCs w:val="20"/>
          <w:lang w:eastAsia="ar-SA"/>
        </w:rPr>
        <w:t>c) Cadastro Nacional de Condenações Cíveis por Atos de Improbidade Administrativa, mantido pelo Conselho Nacional de Justiça (</w:t>
      </w:r>
      <w:hyperlink r:id="rId5">
        <w:r>
          <w:rPr>
            <w:rStyle w:val="LinkdaInternet"/>
            <w:rFonts w:eastAsia="Calibri" w:cs="Arial" w:ascii="Calibri" w:hAnsi="Calibri"/>
            <w:sz w:val="20"/>
            <w:szCs w:val="20"/>
            <w:lang w:eastAsia="ar-SA"/>
          </w:rPr>
          <w:t>www.cnj.jus.br/improbidade_adm/consultar_requerido.php</w:t>
        </w:r>
      </w:hyperlink>
      <w:r>
        <w:rPr>
          <w:rFonts w:cs="Arial" w:ascii="Calibri" w:hAnsi="Calibri"/>
          <w:sz w:val="20"/>
          <w:szCs w:val="20"/>
          <w:lang w:eastAsia="ar-SA"/>
        </w:rPr>
        <w:t xml:space="preserve">).  </w:t>
      </w:r>
    </w:p>
    <w:p>
      <w:pPr>
        <w:pStyle w:val="ListParagraph"/>
        <w:spacing w:lineRule="auto" w:line="276" w:before="120" w:after="120"/>
        <w:ind w:left="1134" w:hanging="0"/>
        <w:contextualSpacing/>
        <w:jc w:val="both"/>
        <w:rPr>
          <w:rFonts w:cs="Arial"/>
          <w:szCs w:val="20"/>
          <w:lang w:eastAsia="ar-SA"/>
        </w:rPr>
      </w:pPr>
      <w:r>
        <w:rPr>
          <w:rFonts w:cs="Arial" w:ascii="Calibri" w:hAnsi="Calibri"/>
          <w:sz w:val="20"/>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cs="Arial"/>
          <w:b/>
          <w:b/>
          <w:szCs w:val="20"/>
        </w:rPr>
      </w:pPr>
      <w:r>
        <w:rPr>
          <w:rFonts w:cs="Arial" w:ascii="Calibri" w:hAnsi="Calibri"/>
          <w:sz w:val="20"/>
          <w:szCs w:val="20"/>
          <w:lang w:eastAsia="ar-SA"/>
        </w:rPr>
        <w:t xml:space="preserve">Para a consulta de </w:t>
      </w:r>
      <w:r>
        <w:rPr>
          <w:rFonts w:cs="Arial" w:ascii="Calibri" w:hAnsi="Calibri"/>
          <w:color w:val="000000" w:themeColor="text1"/>
          <w:sz w:val="20"/>
          <w:szCs w:val="20"/>
        </w:rPr>
        <w:t>fornecedores</w:t>
      </w:r>
      <w:r>
        <w:rPr>
          <w:rFonts w:cs="Arial" w:ascii="Calibri" w:hAnsi="Calibri"/>
          <w:sz w:val="20"/>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pPr>
      <w:r>
        <w:rPr>
          <w:rFonts w:cs="Arial" w:ascii="Calibri" w:hAnsi="Calibri"/>
          <w:color w:val="000000" w:themeColor="text1"/>
          <w:sz w:val="20"/>
          <w:szCs w:val="20"/>
        </w:rPr>
        <w:t xml:space="preserve">A consulta aos </w:t>
      </w:r>
      <w:r>
        <w:rPr>
          <w:rFonts w:cs="Arial" w:ascii="Calibri" w:hAnsi="Calibri"/>
          <w:sz w:val="20"/>
          <w:szCs w:val="20"/>
          <w:lang w:eastAsia="ar-SA"/>
        </w:rPr>
        <w:t>cadastros</w:t>
      </w:r>
      <w:r>
        <w:rPr>
          <w:rFonts w:cs="Arial" w:ascii="Calibri" w:hAnsi="Calibri"/>
          <w:color w:val="000000" w:themeColor="text1"/>
          <w:sz w:val="20"/>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cs="Arial"/>
          <w:szCs w:val="20"/>
        </w:rPr>
      </w:pPr>
      <w:r>
        <w:rPr>
          <w:rFonts w:cs="Arial" w:ascii="Calibri" w:hAnsi="Calibri"/>
          <w:color w:val="000000" w:themeColor="text1"/>
          <w:sz w:val="20"/>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cs="Arial"/>
          <w:color w:val="000000" w:themeColor="text1"/>
          <w:szCs w:val="20"/>
        </w:rPr>
      </w:pPr>
      <w:r>
        <w:rPr>
          <w:rFonts w:cs="Arial" w:ascii="Calibri" w:hAnsi="Calibri"/>
          <w:color w:val="000000" w:themeColor="text1"/>
          <w:sz w:val="20"/>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cs="Arial"/>
          <w:szCs w:val="20"/>
        </w:rPr>
      </w:pPr>
      <w:r>
        <w:rPr>
          <w:rFonts w:cs="Arial" w:ascii="Calibri" w:hAnsi="Calibri"/>
          <w:color w:val="000000" w:themeColor="text1"/>
          <w:sz w:val="20"/>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cs="Arial"/>
          <w:szCs w:val="20"/>
        </w:rPr>
      </w:pPr>
      <w:r>
        <w:rPr>
          <w:rFonts w:cs="Arial" w:ascii="Calibri" w:hAnsi="Calibri"/>
          <w:color w:val="000000" w:themeColor="text1"/>
          <w:sz w:val="20"/>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cs="Arial"/>
          <w:szCs w:val="20"/>
        </w:rPr>
      </w:pPr>
      <w:r>
        <w:rPr>
          <w:rFonts w:cs="Arial" w:ascii="Calibri" w:hAnsi="Calibri"/>
          <w:color w:val="000000" w:themeColor="text1"/>
          <w:sz w:val="20"/>
          <w:szCs w:val="20"/>
        </w:rPr>
        <w:t xml:space="preserve">Caso atendidas as condições de participação, </w:t>
      </w:r>
      <w:r>
        <w:rPr>
          <w:rFonts w:cs="Arial" w:ascii="Calibri" w:hAnsi="Calibri"/>
          <w:sz w:val="20"/>
          <w:szCs w:val="20"/>
        </w:rPr>
        <w:t>a habilitação dos fornecedores será verificada por meio do SICAF, nos documentos por ele abrangidos</w:t>
      </w:r>
      <w:r>
        <w:rPr>
          <w:rFonts w:cs="Arial" w:ascii="Calibri" w:hAnsi="Calibri"/>
          <w:color w:val="000000" w:themeColor="text1"/>
          <w:sz w:val="20"/>
          <w:szCs w:val="20"/>
        </w:rPr>
        <w:t>.</w:t>
      </w:r>
    </w:p>
    <w:p>
      <w:pPr>
        <w:pStyle w:val="ListParagraph"/>
        <w:numPr>
          <w:ilvl w:val="2"/>
          <w:numId w:val="1"/>
        </w:numPr>
        <w:spacing w:lineRule="auto" w:line="276" w:before="120" w:after="120"/>
        <w:contextualSpacing/>
        <w:jc w:val="both"/>
        <w:rPr>
          <w:rFonts w:cs="Arial"/>
          <w:color w:val="000000" w:themeColor="text1"/>
          <w:szCs w:val="20"/>
        </w:rPr>
      </w:pPr>
      <w:r>
        <w:rPr>
          <w:rFonts w:cs="Arial" w:ascii="Calibri" w:hAnsi="Calibri"/>
          <w:color w:val="000000" w:themeColor="text1"/>
          <w:sz w:val="20"/>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cs="Arial"/>
          <w:color w:val="000000" w:themeColor="text1"/>
          <w:szCs w:val="20"/>
        </w:rPr>
      </w:pPr>
      <w:r>
        <w:rPr>
          <w:rFonts w:cs="Arial" w:ascii="Calibri" w:hAnsi="Calibri"/>
          <w:color w:val="000000" w:themeColor="text1"/>
          <w:sz w:val="20"/>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pPr>
      <w:r>
        <w:rPr>
          <w:rFonts w:cs="Arial" w:ascii="Calibri" w:hAnsi="Calibri"/>
          <w:color w:val="000000" w:themeColor="text1"/>
          <w:sz w:val="20"/>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cs="Arial"/>
          <w:color w:val="000000" w:themeColor="text1"/>
          <w:szCs w:val="20"/>
        </w:rPr>
      </w:pPr>
      <w:r>
        <w:rPr>
          <w:rFonts w:cs="Arial" w:ascii="Calibri" w:hAnsi="Calibri"/>
          <w:color w:val="000000" w:themeColor="text1"/>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rFonts w:cs="Arial"/>
          <w:b/>
          <w:b/>
          <w:bCs/>
          <w:szCs w:val="20"/>
        </w:rPr>
      </w:pPr>
      <w:r>
        <w:rPr>
          <w:rFonts w:cs="Arial" w:ascii="Calibri" w:hAnsi="Calibri"/>
          <w:bCs/>
          <w:sz w:val="20"/>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0"/>
          <w:numId w:val="0"/>
        </w:numPr>
        <w:spacing w:lineRule="auto" w:line="276" w:before="120" w:after="120"/>
        <w:ind w:left="1010" w:hanging="0"/>
        <w:contextualSpacing/>
        <w:jc w:val="both"/>
        <w:rPr>
          <w:rFonts w:ascii="Calibri" w:hAnsi="Calibri" w:cs="Arial"/>
          <w:i/>
          <w:i/>
          <w:color w:val="FF0000"/>
          <w:sz w:val="20"/>
          <w:szCs w:val="20"/>
        </w:rPr>
      </w:pPr>
      <w:r>
        <w:rPr>
          <w:rFonts w:cs="Arial" w:ascii="Calibri" w:hAnsi="Calibri"/>
          <w:i/>
          <w:color w:val="FF0000"/>
          <w:sz w:val="20"/>
          <w:szCs w:val="20"/>
        </w:rPr>
      </w:r>
    </w:p>
    <w:p>
      <w:pPr>
        <w:pStyle w:val="ListParagraph"/>
        <w:numPr>
          <w:ilvl w:val="1"/>
          <w:numId w:val="1"/>
        </w:numPr>
        <w:spacing w:lineRule="auto" w:line="276" w:before="120" w:after="120"/>
        <w:ind w:left="792" w:hanging="574"/>
        <w:contextualSpacing/>
        <w:jc w:val="both"/>
        <w:rPr/>
      </w:pPr>
      <w:r>
        <w:rPr>
          <w:rFonts w:cs="Arial" w:ascii="Calibri" w:hAnsi="Calibri"/>
          <w:bCs/>
          <w:sz w:val="20"/>
          <w:szCs w:val="20"/>
        </w:rPr>
        <w:t xml:space="preserve">Havendo </w:t>
      </w:r>
      <w:r>
        <w:rPr>
          <w:rFonts w:cs="Arial" w:ascii="Calibri" w:hAnsi="Calibri"/>
          <w:iCs/>
          <w:sz w:val="20"/>
          <w:szCs w:val="20"/>
          <w:lang w:eastAsia="en-US"/>
        </w:rPr>
        <w:t>necessidade</w:t>
      </w:r>
      <w:r>
        <w:rPr>
          <w:rFonts w:cs="Arial" w:ascii="Calibri" w:hAnsi="Calibri"/>
          <w:bCs/>
          <w:sz w:val="20"/>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cs="Arial"/>
          <w:color w:val="000000"/>
          <w:szCs w:val="20"/>
        </w:rPr>
      </w:pPr>
      <w:r>
        <w:rPr>
          <w:rFonts w:cs="Arial" w:ascii="Calibri" w:hAnsi="Calibri"/>
          <w:color w:val="000000"/>
          <w:sz w:val="20"/>
          <w:szCs w:val="20"/>
        </w:rPr>
        <w:t xml:space="preserve">Será inabilitado o fornecedor que não comprovar sua habilitação, seja por não apresentar </w:t>
      </w:r>
      <w:r>
        <w:rPr>
          <w:rFonts w:cs="Arial" w:ascii="Calibri" w:hAnsi="Calibri"/>
          <w:iCs/>
          <w:sz w:val="20"/>
          <w:szCs w:val="20"/>
          <w:lang w:eastAsia="en-US"/>
        </w:rPr>
        <w:t>quaisquer</w:t>
      </w:r>
      <w:r>
        <w:rPr>
          <w:rFonts w:cs="Arial" w:ascii="Calibri" w:hAnsi="Calibri"/>
          <w:color w:val="000000"/>
          <w:sz w:val="20"/>
          <w:szCs w:val="20"/>
        </w:rPr>
        <w:t xml:space="preserve"> dos </w:t>
      </w:r>
      <w:r>
        <w:rPr>
          <w:rFonts w:cs="Arial" w:ascii="Calibri" w:hAnsi="Calibri"/>
          <w:bCs/>
          <w:sz w:val="20"/>
          <w:szCs w:val="20"/>
        </w:rPr>
        <w:t>documentos</w:t>
      </w:r>
      <w:r>
        <w:rPr>
          <w:rFonts w:cs="Arial" w:ascii="Calibri" w:hAnsi="Calibri"/>
          <w:color w:val="000000"/>
          <w:sz w:val="20"/>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cs="Arial"/>
          <w:color w:val="000000"/>
          <w:szCs w:val="20"/>
        </w:rPr>
      </w:pPr>
      <w:r>
        <w:rPr>
          <w:rFonts w:cs="Arial" w:ascii="Calibri" w:hAnsi="Calibri"/>
          <w:color w:val="000000"/>
          <w:sz w:val="2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cs="Arial"/>
          <w:iCs/>
          <w:lang w:eastAsia="en-US"/>
        </w:rPr>
      </w:pPr>
      <w:r>
        <w:rPr>
          <w:rFonts w:cs="Arial" w:ascii="Calibri" w:hAnsi="Calibri"/>
          <w:iCs/>
          <w:sz w:val="20"/>
          <w:szCs w:val="20"/>
          <w:lang w:eastAsia="en-US"/>
        </w:rPr>
        <w:t>Constatado o atendimento às exigências de habilitação, o fornecedor será habilitado</w:t>
      </w:r>
    </w:p>
    <w:p>
      <w:pPr>
        <w:pStyle w:val="PADRO"/>
        <w:keepNext w:val="false"/>
        <w:widowControl/>
        <w:numPr>
          <w:ilvl w:val="0"/>
          <w:numId w:val="1"/>
        </w:numPr>
        <w:shd w:val="clear" w:color="auto" w:fill="auto"/>
        <w:spacing w:before="120" w:after="120"/>
        <w:rPr>
          <w:rFonts w:ascii="Arial" w:hAnsi="Arial" w:cs="Arial"/>
          <w:b/>
          <w:b/>
        </w:rPr>
      </w:pPr>
      <w:r>
        <w:rPr>
          <w:rFonts w:cs="Arial" w:ascii="Calibri" w:hAnsi="Calibri"/>
          <w:b/>
          <w:sz w:val="20"/>
          <w:szCs w:val="20"/>
        </w:rPr>
        <w:t>CONTRATAÇÃO</w:t>
      </w:r>
    </w:p>
    <w:p>
      <w:pPr>
        <w:pStyle w:val="Normal"/>
        <w:numPr>
          <w:ilvl w:val="1"/>
          <w:numId w:val="1"/>
        </w:numPr>
        <w:spacing w:lineRule="auto" w:line="276" w:before="120" w:after="120"/>
        <w:ind w:left="425" w:hanging="0"/>
        <w:jc w:val="both"/>
        <w:rPr/>
      </w:pPr>
      <w:r>
        <w:rPr>
          <w:rFonts w:eastAsia="Arial" w:cs="Arial" w:ascii="Calibri" w:hAnsi="Calibri"/>
          <w:color w:val="000000"/>
          <w:sz w:val="20"/>
          <w:szCs w:val="20"/>
        </w:rPr>
        <w:t>Após a homologação e adjudicação, caso se conclua pela contratação, será emitido Nota de Empenho em favor da empresa vencedora do item..</w:t>
      </w:r>
    </w:p>
    <w:p>
      <w:pPr>
        <w:pStyle w:val="Normal"/>
        <w:numPr>
          <w:ilvl w:val="1"/>
          <w:numId w:val="1"/>
        </w:numPr>
        <w:spacing w:lineRule="auto" w:line="276" w:before="120" w:after="120"/>
        <w:ind w:left="425" w:hanging="0"/>
        <w:jc w:val="both"/>
        <w:rPr/>
      </w:pPr>
      <w:r>
        <w:rPr>
          <w:rFonts w:eastAsia="Arial" w:cs="Arial" w:ascii="Calibri" w:hAnsi="Calibri"/>
          <w:color w:val="000000"/>
          <w:sz w:val="20"/>
          <w:szCs w:val="20"/>
        </w:rPr>
        <w:t>O adjudicatário terá o prazo de 5 (cinco)</w:t>
      </w:r>
      <w:r>
        <w:rPr>
          <w:rFonts w:eastAsia="Arial" w:cs="Arial" w:ascii="Calibri" w:hAnsi="Calibri"/>
          <w:color w:val="FF0000"/>
          <w:sz w:val="20"/>
          <w:szCs w:val="20"/>
        </w:rPr>
        <w:t xml:space="preserve"> </w:t>
      </w:r>
      <w:r>
        <w:rPr>
          <w:rFonts w:eastAsia="Arial" w:cs="Arial" w:ascii="Calibri" w:hAnsi="Calibri"/>
          <w:color w:val="auto"/>
          <w:sz w:val="20"/>
          <w:szCs w:val="20"/>
        </w:rPr>
        <w:t>dias úteis</w:t>
      </w:r>
      <w:r>
        <w:rPr>
          <w:rFonts w:eastAsia="Arial" w:cs="Arial" w:ascii="Calibri" w:hAnsi="Calibri"/>
          <w:color w:val="000000"/>
          <w:sz w:val="20"/>
          <w:szCs w:val="20"/>
        </w:rPr>
        <w:t xml:space="preserve">, contados a partir da data de sua convocação, para recebimento da Nota de Empenho, sob pena de decair do direito à contratação, sem prejuízo das sanções previstas neste Aviso de Contratação Direta. </w:t>
      </w:r>
    </w:p>
    <w:p>
      <w:pPr>
        <w:pStyle w:val="Normal"/>
        <w:numPr>
          <w:ilvl w:val="2"/>
          <w:numId w:val="1"/>
        </w:numPr>
        <w:spacing w:lineRule="auto" w:line="276" w:before="120" w:after="120"/>
        <w:jc w:val="both"/>
        <w:rPr>
          <w:i w:val="false"/>
          <w:i w:val="false"/>
          <w:iCs w:val="false"/>
          <w:color w:val="auto"/>
        </w:rPr>
      </w:pPr>
      <w:r>
        <w:rPr>
          <w:rFonts w:eastAsia="Arial" w:cs="Arial" w:ascii="Calibri" w:hAnsi="Calibri"/>
          <w:i w:val="false"/>
          <w:iCs w:val="false"/>
          <w:color w:val="auto"/>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5 (cinco) dias, a contar da data de seu recebimento. </w:t>
      </w:r>
    </w:p>
    <w:p>
      <w:pPr>
        <w:pStyle w:val="Normal"/>
        <w:numPr>
          <w:ilvl w:val="2"/>
          <w:numId w:val="1"/>
        </w:numPr>
        <w:spacing w:lineRule="auto" w:line="276" w:before="120" w:after="120"/>
        <w:jc w:val="both"/>
        <w:rPr>
          <w:rFonts w:eastAsia="Arial" w:cs="Arial"/>
          <w:color w:val="000000"/>
          <w:szCs w:val="20"/>
        </w:rPr>
      </w:pPr>
      <w:r>
        <w:rPr>
          <w:rFonts w:eastAsia="Arial" w:cs="Arial" w:ascii="Calibri" w:hAnsi="Calibri"/>
          <w:color w:val="000000"/>
          <w:sz w:val="20"/>
          <w:szCs w:val="20"/>
        </w:rPr>
        <w:t xml:space="preserve">O prazo previsto para assinatura do contrato ou aceitação da nota de empenho ou instrumento equivalente poderá ser prorrogado </w:t>
      </w:r>
      <w:r>
        <w:rPr>
          <w:rFonts w:cs="Times New Roman" w:ascii="Calibri" w:hAnsi="Calibri"/>
          <w:bCs/>
          <w:sz w:val="20"/>
          <w:szCs w:val="20"/>
        </w:rPr>
        <w:t>1 (uma) vez</w:t>
      </w:r>
      <w:r>
        <w:rPr>
          <w:rFonts w:eastAsia="Arial" w:cs="Arial" w:ascii="Calibri" w:hAnsi="Calibri"/>
          <w:sz w:val="20"/>
          <w:szCs w:val="20"/>
        </w:rPr>
        <w:t xml:space="preserve">, </w:t>
      </w:r>
      <w:r>
        <w:rPr>
          <w:rFonts w:eastAsia="Arial" w:cs="Arial" w:ascii="Calibri" w:hAnsi="Calibri"/>
          <w:color w:val="000000"/>
          <w:sz w:val="20"/>
          <w:szCs w:val="20"/>
        </w:rPr>
        <w:t>por igual período, por solicitação justificada do adjudicatário e aceita pela Administração.</w:t>
      </w:r>
    </w:p>
    <w:p>
      <w:pPr>
        <w:pStyle w:val="Normal"/>
        <w:numPr>
          <w:ilvl w:val="1"/>
          <w:numId w:val="1"/>
        </w:numPr>
        <w:spacing w:lineRule="auto" w:line="276" w:before="120" w:after="120"/>
        <w:ind w:left="425" w:hanging="0"/>
        <w:jc w:val="both"/>
        <w:rPr>
          <w:rFonts w:eastAsia="Arial" w:cs="Arial"/>
          <w:i/>
          <w:i/>
          <w:color w:val="FF0000"/>
          <w:szCs w:val="20"/>
        </w:rPr>
      </w:pPr>
      <w:r>
        <w:rPr>
          <w:rFonts w:eastAsia="Arial" w:cs="Arial" w:ascii="Calibri" w:hAnsi="Calibri"/>
          <w:i w:val="false"/>
          <w:iCs w:val="false"/>
          <w:color w:val="auto"/>
          <w:sz w:val="20"/>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eastAsia="Arial" w:cs="Arial"/>
          <w:i/>
          <w:i/>
          <w:color w:val="FF0000"/>
          <w:szCs w:val="20"/>
        </w:rPr>
      </w:pPr>
      <w:r>
        <w:rPr>
          <w:rFonts w:eastAsia="Arial" w:cs="Arial" w:ascii="Calibri" w:hAnsi="Calibri"/>
          <w:i w:val="false"/>
          <w:iCs w:val="false"/>
          <w:color w:val="auto"/>
          <w:sz w:val="20"/>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eastAsia="Arial" w:cs="Arial"/>
          <w:i/>
          <w:i/>
          <w:color w:val="FF0000"/>
          <w:szCs w:val="20"/>
        </w:rPr>
      </w:pPr>
      <w:r>
        <w:rPr>
          <w:rFonts w:eastAsia="Arial" w:cs="Arial" w:ascii="Calibri" w:hAnsi="Calibri"/>
          <w:i w:val="false"/>
          <w:iCs w:val="false"/>
          <w:color w:val="auto"/>
          <w:sz w:val="20"/>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eastAsia="Arial" w:cs="Arial"/>
          <w:i/>
          <w:i/>
          <w:color w:val="FF0000"/>
          <w:szCs w:val="20"/>
        </w:rPr>
      </w:pPr>
      <w:r>
        <w:rPr>
          <w:rFonts w:eastAsia="Arial" w:cs="Arial" w:ascii="Calibri" w:hAnsi="Calibri"/>
          <w:i w:val="false"/>
          <w:iCs w:val="false"/>
          <w:color w:val="auto"/>
          <w:sz w:val="20"/>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ind w:left="425" w:hanging="0"/>
        <w:jc w:val="both"/>
        <w:rPr/>
      </w:pPr>
      <w:r>
        <w:rPr>
          <w:rFonts w:eastAsia="Arial" w:cs="Arial" w:ascii="Calibri" w:hAnsi="Calibri"/>
          <w:color w:val="000000"/>
          <w:sz w:val="20"/>
          <w:szCs w:val="20"/>
        </w:rPr>
        <w:t>O prazo de vigência da contratação é de 60 (sessenta) dias</w:t>
      </w:r>
      <w:r>
        <w:rPr>
          <w:rFonts w:eastAsia="Arial" w:cs="Arial" w:ascii="Calibri" w:hAnsi="Calibri"/>
          <w:color w:val="FF0000"/>
          <w:sz w:val="20"/>
          <w:szCs w:val="20"/>
        </w:rPr>
        <w:t xml:space="preserve"> </w:t>
      </w:r>
      <w:r>
        <w:rPr>
          <w:rFonts w:eastAsia="Arial" w:cs="Arial" w:ascii="Calibri" w:hAnsi="Calibri"/>
          <w:color w:val="000000"/>
          <w:sz w:val="20"/>
          <w:szCs w:val="20"/>
        </w:rPr>
        <w:t xml:space="preserve">prorrogável conforme previsão nos anexos a este Aviso de Contratação Direta. </w:t>
      </w:r>
    </w:p>
    <w:p>
      <w:pPr>
        <w:pStyle w:val="Normal"/>
        <w:numPr>
          <w:ilvl w:val="1"/>
          <w:numId w:val="1"/>
        </w:numPr>
        <w:spacing w:lineRule="auto" w:line="276" w:before="120" w:after="120"/>
        <w:ind w:left="425" w:hanging="0"/>
        <w:jc w:val="both"/>
        <w:rPr>
          <w:rFonts w:eastAsia="Arial" w:cs="Arial"/>
          <w:color w:val="000000"/>
          <w:szCs w:val="20"/>
        </w:rPr>
      </w:pPr>
      <w:r>
        <w:rPr>
          <w:rFonts w:cs="Arial" w:ascii="Calibri" w:hAnsi="Calibri"/>
          <w:color w:val="000000"/>
          <w:sz w:val="2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PADRO"/>
        <w:keepNext w:val="false"/>
        <w:widowControl/>
        <w:numPr>
          <w:ilvl w:val="0"/>
          <w:numId w:val="1"/>
        </w:numPr>
        <w:shd w:val="clear" w:color="auto" w:fill="auto"/>
        <w:spacing w:before="120" w:after="120"/>
        <w:rPr/>
      </w:pPr>
      <w:r>
        <w:rPr>
          <w:rFonts w:cs="Arial" w:ascii="Calibri" w:hAnsi="Calibri"/>
          <w:b/>
          <w:sz w:val="20"/>
          <w:szCs w:val="20"/>
        </w:rPr>
        <w:t>SANÇÕES</w:t>
      </w:r>
    </w:p>
    <w:p>
      <w:pPr>
        <w:pStyle w:val="Normal"/>
        <w:numPr>
          <w:ilvl w:val="1"/>
          <w:numId w:val="1"/>
        </w:numPr>
        <w:spacing w:lineRule="auto" w:line="276" w:before="120" w:after="120"/>
        <w:ind w:left="425" w:hanging="0"/>
        <w:jc w:val="both"/>
        <w:rPr>
          <w:rFonts w:cs="Arial"/>
          <w:b/>
          <w:b/>
        </w:rPr>
      </w:pPr>
      <w:r>
        <w:rPr>
          <w:rFonts w:cs="Arial" w:ascii="Calibri" w:hAnsi="Calibri"/>
          <w:sz w:val="20"/>
          <w:szCs w:val="20"/>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cs="Arial"/>
        </w:rPr>
      </w:pPr>
      <w:r>
        <w:rPr>
          <w:rFonts w:cs="Arial" w:ascii="Calibri" w:hAnsi="Calibri"/>
          <w:color w:val="000000"/>
          <w:sz w:val="20"/>
          <w:szCs w:val="20"/>
        </w:rPr>
        <w:t>dar causa à inexecução parcial do contrato</w:t>
      </w:r>
      <w:r>
        <w:rPr>
          <w:rFonts w:cs="Arial" w:ascii="Calibri" w:hAnsi="Calibri"/>
          <w:sz w:val="20"/>
          <w:szCs w:val="20"/>
        </w:rPr>
        <w:t>;</w:t>
      </w:r>
    </w:p>
    <w:p>
      <w:pPr>
        <w:pStyle w:val="Normal"/>
        <w:numPr>
          <w:ilvl w:val="2"/>
          <w:numId w:val="1"/>
        </w:numPr>
        <w:spacing w:lineRule="auto" w:line="276" w:before="120" w:after="120"/>
        <w:jc w:val="both"/>
        <w:rPr>
          <w:rFonts w:cs="Arial"/>
        </w:rPr>
      </w:pPr>
      <w:r>
        <w:rPr>
          <w:rFonts w:cs="Arial" w:ascii="Calibri" w:hAnsi="Calibri"/>
          <w:color w:val="000000"/>
          <w:sz w:val="2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rPr>
      </w:pPr>
      <w:r>
        <w:rPr>
          <w:rFonts w:cs="Arial" w:ascii="Calibri" w:hAnsi="Calibri"/>
          <w:color w:val="000000"/>
          <w:sz w:val="20"/>
          <w:szCs w:val="20"/>
        </w:rPr>
        <w:t>dar causa à inexecução total do contrato;</w:t>
      </w:r>
    </w:p>
    <w:p>
      <w:pPr>
        <w:pStyle w:val="Normal"/>
        <w:numPr>
          <w:ilvl w:val="2"/>
          <w:numId w:val="1"/>
        </w:numPr>
        <w:spacing w:lineRule="auto" w:line="276" w:before="120" w:after="120"/>
        <w:jc w:val="both"/>
        <w:rPr>
          <w:rFonts w:cs="Arial"/>
        </w:rPr>
      </w:pPr>
      <w:r>
        <w:rPr>
          <w:rFonts w:cs="Arial" w:ascii="Calibri" w:hAnsi="Calibri"/>
          <w:color w:val="000000"/>
          <w:sz w:val="20"/>
          <w:szCs w:val="20"/>
        </w:rPr>
        <w:t>deixar de entregar a documentação exigida para o certame;</w:t>
      </w:r>
    </w:p>
    <w:p>
      <w:pPr>
        <w:pStyle w:val="Normal"/>
        <w:numPr>
          <w:ilvl w:val="2"/>
          <w:numId w:val="1"/>
        </w:numPr>
        <w:spacing w:lineRule="auto" w:line="276" w:before="120" w:after="120"/>
        <w:jc w:val="both"/>
        <w:rPr>
          <w:rFonts w:cs="Arial"/>
        </w:rPr>
      </w:pPr>
      <w:r>
        <w:rPr>
          <w:rFonts w:cs="Arial" w:ascii="Calibri" w:hAnsi="Calibri"/>
          <w:color w:val="000000"/>
          <w:sz w:val="20"/>
          <w:szCs w:val="20"/>
        </w:rPr>
        <w:t>não manter a proposta, salvo em decorrência de fato superveniente devidamente justificado;</w:t>
      </w:r>
    </w:p>
    <w:p>
      <w:pPr>
        <w:pStyle w:val="Normal"/>
        <w:numPr>
          <w:ilvl w:val="2"/>
          <w:numId w:val="1"/>
        </w:numPr>
        <w:spacing w:lineRule="auto" w:line="276" w:before="120" w:after="120"/>
        <w:jc w:val="both"/>
        <w:rPr>
          <w:rFonts w:cs="Arial"/>
        </w:rPr>
      </w:pPr>
      <w:r>
        <w:rPr>
          <w:rFonts w:cs="Arial" w:ascii="Calibri" w:hAnsi="Calibri"/>
          <w:color w:val="000000"/>
          <w:sz w:val="2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rPr>
      </w:pPr>
      <w:r>
        <w:rPr>
          <w:rFonts w:cs="Arial" w:ascii="Calibri" w:hAnsi="Calibri"/>
          <w:color w:val="000000"/>
          <w:sz w:val="20"/>
          <w:szCs w:val="20"/>
        </w:rPr>
        <w:t> </w:t>
      </w:r>
      <w:r>
        <w:rPr>
          <w:rFonts w:cs="Arial" w:ascii="Calibri" w:hAnsi="Calibri"/>
          <w:color w:val="000000"/>
          <w:sz w:val="20"/>
          <w:szCs w:val="20"/>
        </w:rPr>
        <w:t>ensejar o retardamento da execução ou da entrega do objeto da licitação sem motivo justificado;</w:t>
      </w:r>
    </w:p>
    <w:p>
      <w:pPr>
        <w:pStyle w:val="Normal"/>
        <w:numPr>
          <w:ilvl w:val="2"/>
          <w:numId w:val="1"/>
        </w:numPr>
        <w:spacing w:lineRule="auto" w:line="276" w:before="120" w:after="120"/>
        <w:jc w:val="both"/>
        <w:rPr>
          <w:rFonts w:cs="Arial"/>
        </w:rPr>
      </w:pPr>
      <w:r>
        <w:rPr>
          <w:rFonts w:cs="Arial" w:ascii="Calibri" w:hAnsi="Calibri"/>
          <w:color w:val="000000"/>
          <w:sz w:val="2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rPr>
      </w:pPr>
      <w:r>
        <w:rPr>
          <w:rFonts w:cs="Arial" w:ascii="Calibri" w:hAnsi="Calibri"/>
          <w:color w:val="000000"/>
          <w:sz w:val="20"/>
          <w:szCs w:val="20"/>
        </w:rPr>
        <w:t>fraudar a dispensa eletrônica ou praticar ato fraudulento na execução do contrato;</w:t>
      </w:r>
    </w:p>
    <w:p>
      <w:pPr>
        <w:pStyle w:val="Normal"/>
        <w:numPr>
          <w:ilvl w:val="2"/>
          <w:numId w:val="1"/>
        </w:numPr>
        <w:spacing w:lineRule="auto" w:line="276" w:before="120" w:after="120"/>
        <w:jc w:val="both"/>
        <w:rPr>
          <w:rFonts w:cs="Arial"/>
        </w:rPr>
      </w:pPr>
      <w:r>
        <w:rPr>
          <w:rFonts w:cs="Arial" w:ascii="Calibri" w:hAnsi="Calibri"/>
          <w:color w:val="000000"/>
          <w:sz w:val="20"/>
          <w:szCs w:val="20"/>
        </w:rPr>
        <w:t> </w:t>
      </w:r>
      <w:r>
        <w:rPr>
          <w:rFonts w:cs="Arial" w:ascii="Calibri" w:hAnsi="Calibri"/>
          <w:color w:val="000000"/>
          <w:sz w:val="20"/>
          <w:szCs w:val="20"/>
        </w:rPr>
        <w:t>comportar-se de modo inidôneo ou cometer fraude de qualquer natureza;</w:t>
      </w:r>
    </w:p>
    <w:p>
      <w:pPr>
        <w:pStyle w:val="ListParagraph"/>
        <w:numPr>
          <w:ilvl w:val="3"/>
          <w:numId w:val="1"/>
        </w:numPr>
        <w:spacing w:lineRule="auto" w:line="276" w:before="120" w:after="120"/>
        <w:contextualSpacing/>
        <w:jc w:val="both"/>
        <w:rPr>
          <w:rFonts w:cs="Arial"/>
        </w:rPr>
      </w:pPr>
      <w:r>
        <w:rPr>
          <w:rFonts w:cs="Arial" w:ascii="Calibri" w:hAnsi="Calibri"/>
          <w:sz w:val="20"/>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rPr>
      </w:pPr>
      <w:r>
        <w:rPr>
          <w:rFonts w:cs="Arial" w:ascii="Calibri" w:hAnsi="Calibri"/>
          <w:color w:val="000000"/>
          <w:sz w:val="20"/>
          <w:szCs w:val="20"/>
        </w:rPr>
        <w:t> </w:t>
      </w:r>
      <w:r>
        <w:rPr>
          <w:rFonts w:cs="Arial" w:ascii="Calibri" w:hAnsi="Calibri"/>
          <w:color w:val="000000"/>
          <w:sz w:val="20"/>
          <w:szCs w:val="20"/>
        </w:rPr>
        <w:t>praticar atos ilícitos com vistas a frustrar os objetivos deste certame.</w:t>
      </w:r>
    </w:p>
    <w:p>
      <w:pPr>
        <w:pStyle w:val="Normal"/>
        <w:numPr>
          <w:ilvl w:val="2"/>
          <w:numId w:val="1"/>
        </w:numPr>
        <w:spacing w:lineRule="auto" w:line="276" w:before="120" w:after="120"/>
        <w:jc w:val="both"/>
        <w:rPr/>
      </w:pPr>
      <w:r>
        <w:rPr>
          <w:rFonts w:cs="Arial" w:ascii="Calibri" w:hAnsi="Calibri"/>
          <w:color w:val="000000"/>
          <w:sz w:val="20"/>
          <w:szCs w:val="20"/>
        </w:rPr>
        <w:t>praticar ato lesivo previsto no </w:t>
      </w:r>
      <w:r>
        <w:fldChar w:fldCharType="begin"/>
      </w:r>
      <w:r>
        <w:rPr>
          <w:rStyle w:val="ListLabel74"/>
          <w:sz w:val="20"/>
          <w:szCs w:val="20"/>
          <w:rFonts w:ascii="Calibri" w:hAnsi="Calibri"/>
        </w:rPr>
        <w:instrText> HYPERLINK "http://www.planalto.gov.br/ccivil_03/_Ato2011-2014/2013/Lei/L12846.htm" \l "art5"</w:instrText>
      </w:r>
      <w:r>
        <w:rPr>
          <w:rStyle w:val="ListLabel74"/>
          <w:sz w:val="20"/>
          <w:szCs w:val="20"/>
          <w:rFonts w:ascii="Calibri" w:hAnsi="Calibri"/>
        </w:rPr>
        <w:fldChar w:fldCharType="separate"/>
      </w:r>
      <w:r>
        <w:rPr>
          <w:rStyle w:val="ListLabel74"/>
          <w:rFonts w:ascii="Calibri" w:hAnsi="Calibri"/>
          <w:color w:val="000000"/>
          <w:sz w:val="20"/>
          <w:szCs w:val="20"/>
        </w:rPr>
        <w:t>art. 5º da Lei nº 12.846, de 1º de agosto de 2013.</w:t>
      </w:r>
      <w:r>
        <w:rPr>
          <w:rStyle w:val="ListLabel74"/>
          <w:sz w:val="20"/>
          <w:szCs w:val="20"/>
          <w:rFonts w:ascii="Calibri" w:hAnsi="Calibri"/>
        </w:rPr>
        <w:fldChar w:fldCharType="end"/>
      </w:r>
    </w:p>
    <w:p>
      <w:pPr>
        <w:pStyle w:val="Normal"/>
        <w:numPr>
          <w:ilvl w:val="1"/>
          <w:numId w:val="1"/>
        </w:numPr>
        <w:spacing w:lineRule="auto" w:line="276" w:before="120" w:after="120"/>
        <w:ind w:left="425" w:hanging="0"/>
        <w:jc w:val="both"/>
        <w:rPr>
          <w:rFonts w:cs="Arial"/>
          <w:b/>
          <w:b/>
        </w:rPr>
      </w:pPr>
      <w:r>
        <w:rPr>
          <w:rFonts w:cs="Arial" w:ascii="Calibri" w:hAnsi="Calibri"/>
          <w:sz w:val="20"/>
          <w:szCs w:val="20"/>
        </w:rPr>
        <w:t>O fornecedor que cometer qualquer das infrações discriminadas nos subitens anteriores ficará sujeito, sem prejuízo da responsabilidade civil e criminal, às seguintes sanções:</w:t>
      </w:r>
    </w:p>
    <w:p>
      <w:pPr>
        <w:pStyle w:val="Normal"/>
        <w:numPr>
          <w:ilvl w:val="2"/>
          <w:numId w:val="5"/>
        </w:numPr>
        <w:spacing w:lineRule="auto" w:line="276" w:before="120" w:after="120"/>
        <w:jc w:val="both"/>
        <w:rPr>
          <w:rFonts w:cs="Arial"/>
        </w:rPr>
      </w:pPr>
      <w:r>
        <w:rPr>
          <w:rFonts w:cs="Arial" w:ascii="Calibri" w:hAnsi="Calibri"/>
          <w:sz w:val="20"/>
          <w:szCs w:val="20"/>
        </w:rPr>
        <w:t>Advertência pela falta do subitem 8.1.1 deste Aviso de Contratação Direta,</w:t>
      </w:r>
      <w:r>
        <w:rPr>
          <w:rFonts w:ascii="Calibri" w:hAnsi="Calibri"/>
          <w:sz w:val="20"/>
          <w:szCs w:val="20"/>
        </w:rPr>
        <w:t xml:space="preserve"> </w:t>
      </w:r>
      <w:r>
        <w:rPr>
          <w:rFonts w:cs="Arial" w:ascii="Calibri" w:hAnsi="Calibri"/>
          <w:sz w:val="20"/>
          <w:szCs w:val="20"/>
        </w:rPr>
        <w:t>quando não se justificar a imposição de penalidade mais grave;</w:t>
      </w:r>
    </w:p>
    <w:p>
      <w:pPr>
        <w:pStyle w:val="Normal"/>
        <w:numPr>
          <w:ilvl w:val="2"/>
          <w:numId w:val="5"/>
        </w:numPr>
        <w:spacing w:lineRule="auto" w:line="276" w:before="120" w:after="120"/>
        <w:jc w:val="both"/>
        <w:rPr/>
      </w:pPr>
      <w:r>
        <w:rPr>
          <w:rFonts w:cs="Arial" w:ascii="Calibri" w:hAnsi="Calibri"/>
          <w:sz w:val="20"/>
          <w:szCs w:val="20"/>
        </w:rPr>
        <w:t xml:space="preserve">Multa de </w:t>
      </w:r>
      <w:r>
        <w:rPr>
          <w:rFonts w:cs="Arial" w:ascii="Calibri" w:hAnsi="Calibri"/>
          <w:color w:val="auto"/>
          <w:sz w:val="20"/>
          <w:szCs w:val="20"/>
        </w:rPr>
        <w:t>5% (cinco por cento)</w:t>
      </w:r>
      <w:r>
        <w:rPr>
          <w:rFonts w:cs="Arial" w:ascii="Calibri" w:hAnsi="Calibri"/>
          <w:color w:val="FF0000"/>
          <w:sz w:val="20"/>
          <w:szCs w:val="20"/>
        </w:rPr>
        <w:t xml:space="preserve"> </w:t>
      </w:r>
      <w:r>
        <w:rPr>
          <w:rFonts w:cs="Arial" w:ascii="Calibri" w:hAnsi="Calibri"/>
          <w:sz w:val="20"/>
          <w:szCs w:val="20"/>
        </w:rPr>
        <w:t>sobre o valor estimado do(s) item(s) prejudicado(s) pela conduta do fornecedor, por qualquer das infrações dos subitens 8.1.1 a 8.1.12;</w:t>
      </w:r>
    </w:p>
    <w:p>
      <w:pPr>
        <w:pStyle w:val="Normal"/>
        <w:numPr>
          <w:ilvl w:val="2"/>
          <w:numId w:val="5"/>
        </w:numPr>
        <w:spacing w:lineRule="auto" w:line="276" w:before="120" w:after="120"/>
        <w:jc w:val="both"/>
        <w:rPr/>
      </w:pPr>
      <w:r>
        <w:rPr>
          <w:rFonts w:cs="Arial" w:ascii="Calibri" w:hAnsi="Calibri"/>
          <w:color w:val="000000"/>
          <w:sz w:val="20"/>
          <w:szCs w:val="20"/>
        </w:rPr>
        <w:t>Impedimento de licitar e contratar</w:t>
      </w:r>
      <w:r>
        <w:rPr>
          <w:rFonts w:cs="Arial" w:ascii="Calibri" w:hAnsi="Calibri"/>
          <w:sz w:val="20"/>
          <w:szCs w:val="20"/>
        </w:rPr>
        <w:t xml:space="preserve"> </w:t>
      </w:r>
      <w:r>
        <w:rPr>
          <w:rFonts w:cs="Arial" w:ascii="Calibri" w:hAnsi="Calibri"/>
          <w:color w:val="000000"/>
          <w:sz w:val="2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ascii="Calibri" w:hAnsi="Calibri"/>
          <w:sz w:val="20"/>
          <w:szCs w:val="20"/>
        </w:rPr>
        <w:t>;</w:t>
      </w:r>
    </w:p>
    <w:p>
      <w:pPr>
        <w:pStyle w:val="Normal"/>
        <w:numPr>
          <w:ilvl w:val="2"/>
          <w:numId w:val="5"/>
        </w:numPr>
        <w:spacing w:lineRule="auto" w:line="276" w:before="120" w:after="120"/>
        <w:jc w:val="both"/>
        <w:rPr>
          <w:rFonts w:cs="Arial"/>
        </w:rPr>
      </w:pPr>
      <w:r>
        <w:rPr>
          <w:rFonts w:cs="Arial" w:ascii="Calibri" w:hAnsi="Calibri"/>
          <w:color w:val="000000"/>
          <w:sz w:val="2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ascii="Calibri" w:hAnsi="Calibri"/>
          <w:sz w:val="20"/>
          <w:szCs w:val="20"/>
        </w:rPr>
        <w:t>;</w:t>
      </w:r>
    </w:p>
    <w:p>
      <w:pPr>
        <w:pStyle w:val="Normal"/>
        <w:numPr>
          <w:ilvl w:val="1"/>
          <w:numId w:val="1"/>
        </w:numPr>
        <w:spacing w:lineRule="auto" w:line="276" w:before="120" w:after="120"/>
        <w:jc w:val="both"/>
        <w:rPr>
          <w:rFonts w:cs="Arial"/>
          <w:bCs/>
        </w:rPr>
      </w:pPr>
      <w:r>
        <w:rPr>
          <w:rFonts w:cs="Arial" w:ascii="Calibri" w:hAnsi="Calibri"/>
          <w:bCs/>
          <w:sz w:val="20"/>
          <w:szCs w:val="20"/>
        </w:rPr>
        <w:t>Na aplicação das sanções serão considerados:</w:t>
      </w:r>
    </w:p>
    <w:p>
      <w:pPr>
        <w:pStyle w:val="Normal"/>
        <w:numPr>
          <w:ilvl w:val="2"/>
          <w:numId w:val="1"/>
        </w:numPr>
        <w:spacing w:lineRule="auto" w:line="276" w:before="120" w:after="120"/>
        <w:jc w:val="both"/>
        <w:rPr>
          <w:rFonts w:cs="Arial"/>
          <w:bCs/>
        </w:rPr>
      </w:pPr>
      <w:r>
        <w:rPr>
          <w:rFonts w:cs="Arial" w:ascii="Calibri" w:hAnsi="Calibri"/>
          <w:bCs/>
          <w:sz w:val="20"/>
          <w:szCs w:val="20"/>
        </w:rPr>
        <w:t>a natureza e a gravidade da infração cometida;</w:t>
      </w:r>
    </w:p>
    <w:p>
      <w:pPr>
        <w:pStyle w:val="Normal"/>
        <w:numPr>
          <w:ilvl w:val="2"/>
          <w:numId w:val="1"/>
        </w:numPr>
        <w:spacing w:lineRule="auto" w:line="276" w:before="120" w:after="120"/>
        <w:jc w:val="both"/>
        <w:rPr>
          <w:rFonts w:cs="Arial"/>
          <w:bCs/>
        </w:rPr>
      </w:pPr>
      <w:r>
        <w:rPr>
          <w:rFonts w:cs="Arial" w:ascii="Calibri" w:hAnsi="Calibri"/>
          <w:bCs/>
          <w:sz w:val="20"/>
          <w:szCs w:val="20"/>
        </w:rPr>
        <w:t>as peculiaridades do caso concreto;</w:t>
      </w:r>
    </w:p>
    <w:p>
      <w:pPr>
        <w:pStyle w:val="Normal"/>
        <w:numPr>
          <w:ilvl w:val="2"/>
          <w:numId w:val="1"/>
        </w:numPr>
        <w:spacing w:lineRule="auto" w:line="276" w:before="120" w:after="120"/>
        <w:jc w:val="both"/>
        <w:rPr>
          <w:rFonts w:cs="Arial"/>
          <w:bCs/>
        </w:rPr>
      </w:pPr>
      <w:r>
        <w:rPr>
          <w:rFonts w:cs="Arial" w:ascii="Calibri" w:hAnsi="Calibri"/>
          <w:bCs/>
          <w:sz w:val="20"/>
          <w:szCs w:val="20"/>
        </w:rPr>
        <w:t>as circunstâncias agravantes ou atenuantes;</w:t>
      </w:r>
    </w:p>
    <w:p>
      <w:pPr>
        <w:pStyle w:val="Normal"/>
        <w:numPr>
          <w:ilvl w:val="2"/>
          <w:numId w:val="1"/>
        </w:numPr>
        <w:spacing w:lineRule="auto" w:line="276" w:before="120" w:after="120"/>
        <w:jc w:val="both"/>
        <w:rPr>
          <w:rFonts w:cs="Arial"/>
          <w:bCs/>
        </w:rPr>
      </w:pPr>
      <w:r>
        <w:rPr>
          <w:rFonts w:cs="Arial" w:ascii="Calibri" w:hAnsi="Calibri"/>
          <w:bCs/>
          <w:sz w:val="20"/>
          <w:szCs w:val="20"/>
        </w:rPr>
        <w:t>os danos que dela provierem para a Administração Pública;</w:t>
      </w:r>
    </w:p>
    <w:p>
      <w:pPr>
        <w:pStyle w:val="Normal"/>
        <w:numPr>
          <w:ilvl w:val="2"/>
          <w:numId w:val="1"/>
        </w:numPr>
        <w:spacing w:lineRule="auto" w:line="276" w:before="120" w:after="120"/>
        <w:jc w:val="both"/>
        <w:rPr>
          <w:rFonts w:cs="Arial"/>
          <w:bCs/>
        </w:rPr>
      </w:pPr>
      <w:r>
        <w:rPr>
          <w:rFonts w:cs="Arial" w:ascii="Calibri" w:hAnsi="Calibri"/>
          <w:bCs/>
          <w:sz w:val="20"/>
          <w:szCs w:val="20"/>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rPr>
      </w:pPr>
      <w:bookmarkStart w:id="2" w:name="art156%252525252525C2%252525252525A78"/>
      <w:bookmarkStart w:id="3" w:name="art156%252525252525C2%252525252525A77"/>
      <w:bookmarkStart w:id="4" w:name="art156%252525252525C2%252525252525A76"/>
      <w:bookmarkEnd w:id="2"/>
      <w:bookmarkEnd w:id="3"/>
      <w:bookmarkEnd w:id="4"/>
      <w:r>
        <w:rPr>
          <w:rFonts w:cs="Arial" w:ascii="Calibri" w:hAnsi="Calibri"/>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cs="Arial"/>
        </w:rPr>
      </w:pPr>
      <w:bookmarkStart w:id="5" w:name="art156%252525252525C2%252525252525A79"/>
      <w:bookmarkEnd w:id="5"/>
      <w:r>
        <w:rPr>
          <w:rFonts w:cs="Arial" w:ascii="Calibri" w:hAnsi="Calibri"/>
          <w:sz w:val="20"/>
          <w:szCs w:val="20"/>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cs="Arial"/>
        </w:rPr>
      </w:pPr>
      <w:r>
        <w:rPr>
          <w:rFonts w:cs="Arial" w:ascii="Calibri" w:hAnsi="Calibri"/>
          <w:sz w:val="20"/>
          <w:szCs w:val="20"/>
        </w:rPr>
        <w:t>A penalidade de multa pode ser aplicada cumulativamente com as demais sanções.</w:t>
      </w:r>
    </w:p>
    <w:p>
      <w:pPr>
        <w:pStyle w:val="Normal"/>
        <w:numPr>
          <w:ilvl w:val="1"/>
          <w:numId w:val="1"/>
        </w:numPr>
        <w:spacing w:lineRule="auto" w:line="276" w:before="120" w:after="120"/>
        <w:ind w:left="425" w:hanging="0"/>
        <w:jc w:val="both"/>
        <w:rPr>
          <w:rFonts w:cs="Arial"/>
        </w:rPr>
      </w:pPr>
      <w:r>
        <w:rPr>
          <w:rFonts w:cs="Arial" w:ascii="Calibri" w:hAnsi="Calibri"/>
          <w:sz w:val="20"/>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cs="Arial"/>
        </w:rPr>
      </w:pPr>
      <w:r>
        <w:rPr>
          <w:rFonts w:cs="Arial" w:ascii="Calibri" w:hAnsi="Calibri"/>
          <w:sz w:val="2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cs="Arial"/>
        </w:rPr>
      </w:pPr>
      <w:r>
        <w:rPr>
          <w:rFonts w:cs="Arial" w:ascii="Calibri" w:hAnsi="Calibri"/>
          <w:sz w:val="20"/>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cs="Arial"/>
        </w:rPr>
      </w:pPr>
      <w:r>
        <w:rPr>
          <w:rFonts w:cs="Arial" w:ascii="Calibri" w:hAnsi="Calibri"/>
          <w:sz w:val="20"/>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rFonts w:cs="Arial"/>
        </w:rPr>
      </w:pPr>
      <w:r>
        <w:rPr>
          <w:rFonts w:cs="Arial" w:ascii="Calibri" w:hAnsi="Calibri"/>
          <w:sz w:val="20"/>
          <w:szCs w:val="20"/>
        </w:rPr>
        <w:t>As sanções por atos praticados no decorrer da contratação estão previstas nos anexos a este Aviso.</w:t>
      </w:r>
    </w:p>
    <w:p>
      <w:pPr>
        <w:pStyle w:val="Normal"/>
        <w:spacing w:lineRule="auto" w:line="276" w:before="120" w:after="120"/>
        <w:ind w:left="425" w:hanging="0"/>
        <w:jc w:val="both"/>
        <w:rPr>
          <w:rFonts w:ascii="Calibri" w:hAnsi="Calibri" w:cs="Arial"/>
          <w:sz w:val="20"/>
          <w:szCs w:val="20"/>
        </w:rPr>
      </w:pPr>
      <w:r>
        <w:rPr>
          <w:rFonts w:cs="Arial" w:ascii="Calibri" w:hAnsi="Calibri"/>
          <w:sz w:val="20"/>
          <w:szCs w:val="20"/>
        </w:rPr>
      </w:r>
    </w:p>
    <w:p>
      <w:pPr>
        <w:pStyle w:val="PADRO"/>
        <w:keepNext w:val="false"/>
        <w:widowControl/>
        <w:numPr>
          <w:ilvl w:val="0"/>
          <w:numId w:val="1"/>
        </w:numPr>
        <w:shd w:val="clear" w:color="auto" w:fill="auto"/>
        <w:spacing w:before="120" w:after="120"/>
        <w:rPr>
          <w:rFonts w:ascii="Arial" w:hAnsi="Arial" w:cs="Arial"/>
          <w:b/>
          <w:b/>
        </w:rPr>
      </w:pPr>
      <w:r>
        <w:rPr>
          <w:rFonts w:cs="Arial" w:ascii="Calibri" w:hAnsi="Calibri"/>
          <w:b/>
          <w:sz w:val="20"/>
          <w:szCs w:val="20"/>
        </w:rPr>
        <w:t>DAS DISPOSIÇÕES GERAIS</w:t>
      </w:r>
    </w:p>
    <w:p>
      <w:pPr>
        <w:pStyle w:val="Normal"/>
        <w:numPr>
          <w:ilvl w:val="1"/>
          <w:numId w:val="1"/>
        </w:numPr>
        <w:snapToGrid w:val="false"/>
        <w:spacing w:lineRule="auto" w:line="276" w:before="120" w:after="120"/>
        <w:ind w:left="425" w:hanging="0"/>
        <w:jc w:val="both"/>
        <w:rPr>
          <w:rFonts w:cs="Arial"/>
          <w:szCs w:val="20"/>
        </w:rPr>
      </w:pPr>
      <w:r>
        <w:rPr>
          <w:rFonts w:ascii="Calibri" w:hAnsi="Calibri"/>
          <w:sz w:val="20"/>
          <w:szCs w:val="20"/>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cs="Arial"/>
          <w:color w:val="000000"/>
          <w:szCs w:val="20"/>
        </w:rPr>
      </w:pPr>
      <w:r>
        <w:rPr>
          <w:rFonts w:cs="Arial" w:ascii="Calibri" w:hAnsi="Calibri"/>
          <w:color w:val="000000"/>
          <w:sz w:val="2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Cs w:val="20"/>
        </w:rPr>
      </w:pPr>
      <w:r>
        <w:rPr>
          <w:rFonts w:cs="Arial" w:ascii="Calibri" w:hAnsi="Calibri"/>
          <w:color w:val="000000"/>
          <w:sz w:val="20"/>
          <w:szCs w:val="20"/>
        </w:rPr>
        <w:t>republicar o presente aviso com uma nova data;</w:t>
      </w:r>
    </w:p>
    <w:p>
      <w:pPr>
        <w:pStyle w:val="Normal"/>
        <w:numPr>
          <w:ilvl w:val="2"/>
          <w:numId w:val="1"/>
        </w:numPr>
        <w:spacing w:lineRule="auto" w:line="276" w:before="120" w:after="120"/>
        <w:jc w:val="both"/>
        <w:rPr>
          <w:rFonts w:cs="Arial"/>
          <w:color w:val="000000"/>
          <w:szCs w:val="20"/>
        </w:rPr>
      </w:pPr>
      <w:r>
        <w:rPr>
          <w:rFonts w:cs="Arial" w:ascii="Calibri" w:hAnsi="Calibri"/>
          <w:color w:val="000000"/>
          <w:sz w:val="2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Cs w:val="20"/>
        </w:rPr>
      </w:pPr>
      <w:r>
        <w:rPr>
          <w:rFonts w:cs="Arial" w:ascii="Calibri" w:hAnsi="Calibri"/>
          <w:color w:val="000000"/>
          <w:sz w:val="20"/>
          <w:szCs w:val="20"/>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Cs w:val="20"/>
        </w:rPr>
      </w:pPr>
      <w:r>
        <w:rPr>
          <w:rFonts w:cs="Arial" w:ascii="Calibri" w:hAnsi="Calibri"/>
          <w:color w:val="000000"/>
          <w:sz w:val="20"/>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Cs w:val="20"/>
        </w:rPr>
      </w:pPr>
      <w:r>
        <w:rPr>
          <w:rFonts w:cs="Arial" w:ascii="Calibri" w:hAnsi="Calibri"/>
          <w:color w:val="000000"/>
          <w:sz w:val="20"/>
          <w:szCs w:val="20"/>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Cs w:val="20"/>
        </w:rPr>
      </w:pPr>
      <w:r>
        <w:rPr>
          <w:rFonts w:cs="Arial" w:ascii="Calibri" w:hAnsi="Calibri"/>
          <w:color w:val="000000"/>
          <w:sz w:val="2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Cs w:val="20"/>
        </w:rPr>
      </w:pPr>
      <w:r>
        <w:rPr>
          <w:rFonts w:cs="Arial" w:ascii="Calibri" w:hAnsi="Calibri"/>
          <w:color w:val="000000"/>
          <w:sz w:val="2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Cs w:val="20"/>
        </w:rPr>
      </w:pPr>
      <w:r>
        <w:rPr>
          <w:rFonts w:cs="Arial" w:ascii="Calibri" w:hAnsi="Calibri"/>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Cs w:val="20"/>
        </w:rPr>
      </w:pPr>
      <w:r>
        <w:rPr>
          <w:rFonts w:cs="Arial" w:ascii="Calibri" w:hAnsi="Calibri"/>
          <w:color w:val="000000"/>
          <w:sz w:val="2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themeColor="text1"/>
          <w:szCs w:val="20"/>
        </w:rPr>
      </w:pPr>
      <w:r>
        <w:rPr>
          <w:rFonts w:cs="Arial" w:ascii="Calibri" w:hAnsi="Calibri"/>
          <w:color w:val="000000" w:themeColor="text1"/>
          <w:sz w:val="20"/>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Cs w:val="20"/>
        </w:rPr>
      </w:pPr>
      <w:r>
        <w:rPr>
          <w:rFonts w:cs="Arial" w:ascii="Calibri" w:hAnsi="Calibri"/>
          <w:color w:val="000000"/>
          <w:sz w:val="2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Cs w:val="20"/>
        </w:rPr>
      </w:pPr>
      <w:r>
        <w:rPr>
          <w:rFonts w:cs="Arial" w:ascii="Calibri" w:hAnsi="Calibri"/>
          <w:color w:val="000000"/>
          <w:sz w:val="2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Cs w:val="20"/>
        </w:rPr>
      </w:pPr>
      <w:r>
        <w:rPr>
          <w:rFonts w:cs="Arial" w:ascii="Calibri" w:hAnsi="Calibri"/>
          <w:color w:val="000000"/>
          <w:sz w:val="2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Cs w:val="20"/>
        </w:rPr>
      </w:pPr>
      <w:r>
        <w:rPr>
          <w:rFonts w:cs="Arial" w:ascii="Calibri" w:hAnsi="Calibri"/>
          <w:color w:val="000000"/>
          <w:sz w:val="20"/>
          <w:szCs w:val="20"/>
        </w:rPr>
        <w:t>Da sessão pública será divulgada Ata no sistema eletrônico.</w:t>
      </w:r>
    </w:p>
    <w:p>
      <w:pPr>
        <w:pStyle w:val="Normal"/>
        <w:numPr>
          <w:ilvl w:val="1"/>
          <w:numId w:val="1"/>
        </w:numPr>
        <w:spacing w:lineRule="auto" w:line="276" w:before="120" w:after="120"/>
        <w:ind w:left="425" w:hanging="0"/>
        <w:jc w:val="both"/>
        <w:rPr>
          <w:rFonts w:cs="Arial"/>
          <w:color w:val="000000"/>
          <w:szCs w:val="20"/>
        </w:rPr>
      </w:pPr>
      <w:r>
        <w:rPr>
          <w:rFonts w:cs="Arial" w:ascii="Calibri" w:hAnsi="Calibri"/>
          <w:color w:val="000000"/>
          <w:sz w:val="20"/>
          <w:szCs w:val="20"/>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Cs w:val="20"/>
        </w:rPr>
      </w:pPr>
      <w:r>
        <w:rPr>
          <w:rFonts w:cs="Arial" w:ascii="Calibri" w:hAnsi="Calibri"/>
          <w:color w:val="000000"/>
          <w:sz w:val="20"/>
          <w:szCs w:val="20"/>
        </w:rPr>
        <w:t>ANEXO I – Documentação exigida para Habilitação</w:t>
      </w:r>
    </w:p>
    <w:p>
      <w:pPr>
        <w:pStyle w:val="Normal"/>
        <w:numPr>
          <w:ilvl w:val="2"/>
          <w:numId w:val="1"/>
        </w:numPr>
        <w:spacing w:lineRule="auto" w:line="276" w:before="120" w:after="120"/>
        <w:jc w:val="both"/>
        <w:rPr/>
      </w:pPr>
      <w:r>
        <w:rPr>
          <w:rFonts w:cs="Arial" w:ascii="Calibri" w:hAnsi="Calibri"/>
          <w:color w:val="000000"/>
          <w:sz w:val="20"/>
          <w:szCs w:val="20"/>
        </w:rPr>
        <w:t>ANEXO II - Termo de Referência;</w:t>
      </w:r>
    </w:p>
    <w:p>
      <w:pPr>
        <w:pStyle w:val="Normal"/>
        <w:spacing w:lineRule="auto" w:line="276" w:before="120" w:after="120"/>
        <w:jc w:val="both"/>
        <w:rPr>
          <w:rFonts w:ascii="Calibri" w:hAnsi="Calibri" w:cs="Arial"/>
          <w:color w:val="000000"/>
          <w:sz w:val="20"/>
          <w:szCs w:val="20"/>
        </w:rPr>
      </w:pPr>
      <w:r>
        <w:rPr>
          <w:rFonts w:cs="Arial" w:ascii="Calibri" w:hAnsi="Calibri"/>
          <w:color w:val="000000"/>
          <w:sz w:val="20"/>
          <w:szCs w:val="20"/>
        </w:rPr>
      </w:r>
    </w:p>
    <w:p>
      <w:pPr>
        <w:pStyle w:val="Normal"/>
        <w:spacing w:lineRule="auto" w:line="276" w:before="120" w:after="120"/>
        <w:jc w:val="right"/>
        <w:rPr/>
      </w:pPr>
      <w:r>
        <w:rPr>
          <w:rFonts w:cs="Arial" w:ascii="Calibri" w:hAnsi="Calibri"/>
          <w:color w:val="auto"/>
          <w:sz w:val="20"/>
          <w:szCs w:val="20"/>
        </w:rPr>
        <w:t xml:space="preserve">Pirassununga, SP, 5 de </w:t>
      </w:r>
      <w:r>
        <w:rPr>
          <w:rFonts w:eastAsia="Times New Roman" w:cs="Arial" w:ascii="Calibri" w:hAnsi="Calibri"/>
          <w:color w:val="auto"/>
          <w:kern w:val="0"/>
          <w:sz w:val="20"/>
          <w:szCs w:val="20"/>
          <w:lang w:val="pt-BR" w:eastAsia="pt-BR" w:bidi="ar-SA"/>
        </w:rPr>
        <w:t>outubro</w:t>
      </w:r>
      <w:r>
        <w:rPr>
          <w:rFonts w:cs="Arial" w:ascii="Calibri" w:hAnsi="Calibri"/>
          <w:color w:val="auto"/>
          <w:sz w:val="20"/>
          <w:szCs w:val="20"/>
        </w:rPr>
        <w:t xml:space="preserve"> de 2021.</w:t>
      </w:r>
    </w:p>
    <w:p>
      <w:pPr>
        <w:pStyle w:val="Normal"/>
        <w:spacing w:lineRule="auto" w:line="276" w:before="120" w:after="120"/>
        <w:jc w:val="both"/>
        <w:rPr>
          <w:rFonts w:ascii="Calibri" w:hAnsi="Calibri" w:cs="Arial"/>
          <w:color w:val="000000"/>
          <w:sz w:val="20"/>
          <w:szCs w:val="20"/>
        </w:rPr>
      </w:pPr>
      <w:r>
        <w:rPr>
          <w:rFonts w:cs="Arial" w:ascii="Calibri" w:hAnsi="Calibri"/>
          <w:color w:val="000000"/>
          <w:sz w:val="20"/>
          <w:szCs w:val="20"/>
        </w:rPr>
      </w:r>
    </w:p>
    <w:p>
      <w:pPr>
        <w:pStyle w:val="Normal"/>
        <w:spacing w:lineRule="auto" w:line="276" w:before="120" w:after="120"/>
        <w:jc w:val="both"/>
        <w:rPr>
          <w:rFonts w:ascii="Calibri" w:hAnsi="Calibri" w:cs="Arial"/>
          <w:color w:val="000000"/>
          <w:sz w:val="20"/>
          <w:szCs w:val="20"/>
        </w:rPr>
      </w:pPr>
      <w:r>
        <w:rPr>
          <w:rFonts w:cs="Arial" w:ascii="Calibri" w:hAnsi="Calibri"/>
          <w:color w:val="000000"/>
          <w:sz w:val="20"/>
          <w:szCs w:val="20"/>
        </w:rPr>
      </w:r>
    </w:p>
    <w:p>
      <w:pPr>
        <w:pStyle w:val="Normal"/>
        <w:jc w:val="center"/>
        <w:rPr/>
      </w:pPr>
      <w:r>
        <w:rPr>
          <w:rFonts w:cs="Arial" w:ascii="Calibri" w:hAnsi="Calibri"/>
          <w:b/>
          <w:bCs/>
          <w:iCs/>
          <w:color w:val="auto"/>
          <w:sz w:val="20"/>
          <w:szCs w:val="20"/>
        </w:rPr>
        <w:t>VICTOR DE AGUIAR DA SILVA – Primeiro Tenente</w:t>
      </w:r>
    </w:p>
    <w:p>
      <w:pPr>
        <w:pStyle w:val="Normal"/>
        <w:spacing w:lineRule="auto" w:line="276" w:before="6" w:after="6"/>
        <w:jc w:val="center"/>
        <w:rPr/>
      </w:pPr>
      <w:r>
        <w:rPr>
          <w:rFonts w:cs="Arial" w:ascii="Calibri" w:hAnsi="Calibri"/>
          <w:bCs/>
          <w:iCs/>
          <w:color w:val="auto"/>
          <w:sz w:val="20"/>
          <w:szCs w:val="20"/>
        </w:rPr>
        <w:t>Chefe da Seção de Aquisições, Licitações e Contratos</w:t>
      </w:r>
    </w:p>
    <w:p>
      <w:pPr>
        <w:pStyle w:val="Normal"/>
        <w:spacing w:lineRule="auto" w:line="276" w:before="120" w:after="120"/>
        <w:jc w:val="both"/>
        <w:rPr>
          <w:rFonts w:ascii="Calibri" w:hAnsi="Calibri" w:cs="Arial"/>
          <w:color w:val="000000"/>
          <w:sz w:val="20"/>
          <w:szCs w:val="20"/>
        </w:rPr>
      </w:pPr>
      <w:r>
        <w:rPr>
          <w:rFonts w:cs="Arial" w:ascii="Calibri" w:hAnsi="Calibri"/>
          <w:color w:val="000000"/>
          <w:sz w:val="20"/>
          <w:szCs w:val="20"/>
        </w:rPr>
      </w:r>
    </w:p>
    <w:p>
      <w:pPr>
        <w:pStyle w:val="Normal"/>
        <w:spacing w:lineRule="auto" w:line="276" w:before="120" w:after="120"/>
        <w:jc w:val="both"/>
        <w:rPr>
          <w:rFonts w:ascii="Calibri" w:hAnsi="Calibri" w:cs="Arial"/>
          <w:color w:val="000000"/>
          <w:sz w:val="20"/>
          <w:szCs w:val="20"/>
        </w:rPr>
      </w:pPr>
      <w:r>
        <w:rPr>
          <w:rFonts w:cs="Arial" w:ascii="Calibri" w:hAnsi="Calibri"/>
          <w:color w:val="000000"/>
          <w:sz w:val="20"/>
          <w:szCs w:val="20"/>
        </w:rPr>
      </w:r>
    </w:p>
    <w:p>
      <w:pPr>
        <w:pStyle w:val="Normal"/>
        <w:spacing w:lineRule="auto" w:line="276" w:before="120" w:after="120"/>
        <w:jc w:val="both"/>
        <w:rPr>
          <w:rFonts w:ascii="Calibri" w:hAnsi="Calibri" w:cs="Arial"/>
          <w:color w:val="000000"/>
          <w:sz w:val="20"/>
          <w:szCs w:val="20"/>
        </w:rPr>
      </w:pPr>
      <w:r>
        <w:rPr>
          <w:rFonts w:cs="Arial" w:ascii="Calibri" w:hAnsi="Calibri"/>
          <w:color w:val="000000"/>
          <w:sz w:val="20"/>
          <w:szCs w:val="20"/>
        </w:rPr>
      </w:r>
    </w:p>
    <w:p>
      <w:pPr>
        <w:pStyle w:val="Normal"/>
        <w:jc w:val="center"/>
        <w:rPr/>
      </w:pPr>
      <w:r>
        <w:rPr>
          <w:rFonts w:eastAsia="Times New Roman" w:cs="Arial" w:ascii="Calibri" w:hAnsi="Calibri"/>
          <w:b/>
          <w:bCs/>
          <w:iCs/>
          <w:color w:val="auto"/>
          <w:kern w:val="0"/>
          <w:sz w:val="20"/>
          <w:szCs w:val="20"/>
          <w:lang w:val="pt-BR" w:eastAsia="pt-BR" w:bidi="ar-SA"/>
        </w:rPr>
        <w:t>DANIEL COUTINHO E SOUZA</w:t>
      </w:r>
      <w:r>
        <w:rPr>
          <w:rFonts w:cs="Arial" w:ascii="Calibri" w:hAnsi="Calibri"/>
          <w:b/>
          <w:bCs/>
          <w:iCs/>
          <w:color w:val="auto"/>
          <w:sz w:val="20"/>
          <w:szCs w:val="20"/>
        </w:rPr>
        <w:t xml:space="preserve"> – Tenente Coronel</w:t>
      </w:r>
    </w:p>
    <w:p>
      <w:pPr>
        <w:pStyle w:val="Normal"/>
        <w:spacing w:lineRule="auto" w:line="276" w:before="0" w:after="120"/>
        <w:ind w:left="360" w:right="-15" w:hanging="0"/>
        <w:jc w:val="center"/>
        <w:rPr>
          <w:rFonts w:ascii="Calibri" w:hAnsi="Calibri" w:cs="Arial"/>
          <w:sz w:val="20"/>
          <w:szCs w:val="20"/>
          <w:lang w:eastAsia="en-US"/>
        </w:rPr>
      </w:pPr>
      <w:r>
        <w:rPr>
          <w:rFonts w:cs="Arial" w:ascii="Calibri" w:hAnsi="Calibri"/>
          <w:bCs/>
          <w:iCs/>
          <w:color w:val="auto"/>
          <w:sz w:val="20"/>
          <w:szCs w:val="20"/>
          <w:lang w:eastAsia="en-US"/>
        </w:rPr>
        <w:t>Ordenador de Despesas</w:t>
      </w:r>
      <w:r>
        <w:rPr>
          <w:rFonts w:cs="Arial" w:ascii="Calibri" w:hAnsi="Calibri"/>
          <w:bCs/>
          <w:iCs/>
          <w:color w:val="000000"/>
          <w:sz w:val="20"/>
          <w:szCs w:val="20"/>
          <w:lang w:eastAsia="en-US"/>
        </w:rPr>
        <w:t xml:space="preserve"> do 13 º RC Mec</w:t>
      </w:r>
    </w:p>
    <w:p>
      <w:pPr>
        <w:pStyle w:val="Normal"/>
        <w:jc w:val="center"/>
        <w:rPr>
          <w:rFonts w:ascii="Calibri" w:hAnsi="Calibri" w:cs="Arial"/>
          <w:b/>
          <w:b/>
          <w:bCs/>
          <w:sz w:val="20"/>
          <w:szCs w:val="20"/>
          <w:lang w:eastAsia="en-US"/>
        </w:rPr>
      </w:pPr>
      <w:r>
        <w:rPr>
          <w:rFonts w:cs="Arial" w:ascii="Calibri" w:hAnsi="Calibri"/>
          <w:b/>
          <w:bCs/>
          <w:sz w:val="20"/>
          <w:szCs w:val="20"/>
          <w:lang w:eastAsia="en-US"/>
        </w:rPr>
      </w:r>
    </w:p>
    <w:p>
      <w:pPr>
        <w:pStyle w:val="Normal"/>
        <w:jc w:val="center"/>
        <w:rPr>
          <w:rFonts w:ascii="Calibri" w:hAnsi="Calibri" w:cs="Arial"/>
          <w:b/>
          <w:b/>
          <w:bCs/>
          <w:sz w:val="20"/>
          <w:szCs w:val="20"/>
          <w:lang w:eastAsia="en-US"/>
        </w:rPr>
      </w:pPr>
      <w:r>
        <w:rPr>
          <w:rFonts w:cs="Arial" w:ascii="Calibri" w:hAnsi="Calibri"/>
          <w:b/>
          <w:bCs/>
          <w:sz w:val="20"/>
          <w:szCs w:val="20"/>
          <w:lang w:eastAsia="en-US"/>
        </w:rPr>
      </w:r>
    </w:p>
    <w:p>
      <w:pPr>
        <w:pStyle w:val="Normal"/>
        <w:jc w:val="center"/>
        <w:rPr>
          <w:rFonts w:ascii="Calibri" w:hAnsi="Calibri" w:cs="Arial"/>
          <w:b/>
          <w:b/>
          <w:bCs/>
          <w:sz w:val="20"/>
          <w:szCs w:val="20"/>
          <w:lang w:eastAsia="en-US"/>
        </w:rPr>
      </w:pPr>
      <w:r>
        <w:rPr>
          <w:rFonts w:cs="Arial" w:ascii="Calibri" w:hAnsi="Calibri"/>
          <w:b/>
          <w:bCs/>
          <w:sz w:val="20"/>
          <w:szCs w:val="20"/>
          <w:lang w:eastAsia="en-US"/>
        </w:rPr>
      </w:r>
    </w:p>
    <w:p>
      <w:pPr>
        <w:pStyle w:val="Normal"/>
        <w:jc w:val="center"/>
        <w:rPr>
          <w:rFonts w:ascii="Calibri" w:hAnsi="Calibri" w:cs="Arial"/>
          <w:b/>
          <w:b/>
          <w:bCs/>
          <w:sz w:val="20"/>
          <w:szCs w:val="20"/>
          <w:lang w:eastAsia="en-US"/>
        </w:rPr>
      </w:pPr>
      <w:r>
        <w:rPr>
          <w:rFonts w:cs="Arial" w:ascii="Calibri" w:hAnsi="Calibri"/>
          <w:b/>
          <w:bCs/>
          <w:sz w:val="20"/>
          <w:szCs w:val="20"/>
          <w:lang w:eastAsia="en-US"/>
        </w:rPr>
      </w:r>
      <w:r>
        <w:br w:type="page"/>
      </w:r>
    </w:p>
    <w:p>
      <w:pPr>
        <w:pStyle w:val="Normal"/>
        <w:jc w:val="center"/>
        <w:rPr/>
      </w:pPr>
      <w:r>
        <w:rPr/>
        <w:drawing>
          <wp:inline distT="0" distB="0" distL="0" distR="0">
            <wp:extent cx="850900" cy="881380"/>
            <wp:effectExtent l="0" t="0" r="0" b="0"/>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6"/>
                    <a:stretch>
                      <a:fillRect/>
                    </a:stretch>
                  </pic:blipFill>
                  <pic:spPr bwMode="auto">
                    <a:xfrm>
                      <a:off x="0" y="0"/>
                      <a:ext cx="850900" cy="881380"/>
                    </a:xfrm>
                    <a:prstGeom prst="rect">
                      <a:avLst/>
                    </a:prstGeom>
                  </pic:spPr>
                </pic:pic>
              </a:graphicData>
            </a:graphic>
          </wp:inline>
        </w:drawing>
      </w:r>
    </w:p>
    <w:p>
      <w:pPr>
        <w:pStyle w:val="Normal"/>
        <w:jc w:val="center"/>
        <w:rPr/>
      </w:pPr>
      <w:r>
        <w:rPr>
          <w:rFonts w:cs="Arial" w:ascii="Calibri" w:hAnsi="Calibri"/>
          <w:b/>
          <w:bCs/>
          <w:color w:val="auto"/>
          <w:sz w:val="20"/>
          <w:szCs w:val="20"/>
        </w:rPr>
        <w:t>MINISTÉRIO DA DEFESA</w:t>
      </w:r>
    </w:p>
    <w:p>
      <w:pPr>
        <w:pStyle w:val="Normal"/>
        <w:jc w:val="center"/>
        <w:rPr/>
      </w:pPr>
      <w:r>
        <w:rPr>
          <w:rFonts w:cs="Arial" w:ascii="Calibri" w:hAnsi="Calibri"/>
          <w:b/>
          <w:bCs/>
          <w:color w:val="auto"/>
          <w:sz w:val="20"/>
          <w:szCs w:val="20"/>
        </w:rPr>
        <w:t>EXÉRCITO BRASILEIRO</w:t>
      </w:r>
    </w:p>
    <w:p>
      <w:pPr>
        <w:pStyle w:val="Normal"/>
        <w:jc w:val="center"/>
        <w:rPr/>
      </w:pPr>
      <w:r>
        <w:rPr>
          <w:rFonts w:cs="Arial" w:ascii="Calibri" w:hAnsi="Calibri"/>
          <w:b/>
          <w:bCs/>
          <w:color w:val="auto"/>
          <w:sz w:val="20"/>
          <w:szCs w:val="20"/>
        </w:rPr>
        <w:t>13º REGIMENTO DE CAVALARIA MECANIZADO</w:t>
      </w:r>
    </w:p>
    <w:p>
      <w:pPr>
        <w:pStyle w:val="Normal"/>
        <w:jc w:val="center"/>
        <w:rPr/>
      </w:pPr>
      <w:r>
        <w:rPr>
          <w:rFonts w:cs="Arial" w:ascii="Calibri" w:hAnsi="Calibri"/>
          <w:b/>
          <w:bCs/>
          <w:color w:val="auto"/>
          <w:sz w:val="20"/>
          <w:szCs w:val="20"/>
        </w:rPr>
        <w:t>(2º BCC/1945)</w:t>
      </w:r>
    </w:p>
    <w:p>
      <w:pPr>
        <w:pStyle w:val="Normal"/>
        <w:spacing w:lineRule="auto" w:line="276"/>
        <w:jc w:val="center"/>
        <w:rPr/>
      </w:pPr>
      <w:r>
        <w:rPr>
          <w:rFonts w:cs="Arial" w:ascii="Calibri" w:hAnsi="Calibri"/>
          <w:b/>
          <w:bCs/>
          <w:i w:val="false"/>
          <w:iCs w:val="false"/>
          <w:color w:val="auto"/>
          <w:sz w:val="20"/>
          <w:szCs w:val="20"/>
        </w:rPr>
        <w:t>(REGIMENTO ANHANGUERA)</w:t>
      </w:r>
    </w:p>
    <w:p>
      <w:pPr>
        <w:pStyle w:val="Normal"/>
        <w:spacing w:lineRule="auto" w:line="276"/>
        <w:jc w:val="center"/>
        <w:rPr>
          <w:rFonts w:ascii="Calibri" w:hAnsi="Calibri" w:cs="Arial"/>
          <w:b/>
          <w:b/>
          <w:bCs/>
          <w:i/>
          <w:i/>
          <w:iCs/>
          <w:color w:val="auto"/>
          <w:sz w:val="20"/>
          <w:szCs w:val="20"/>
        </w:rPr>
      </w:pPr>
      <w:r>
        <w:rPr>
          <w:rFonts w:cs="Arial" w:ascii="Calibri" w:hAnsi="Calibri"/>
          <w:b/>
          <w:bCs/>
          <w:i/>
          <w:iCs/>
          <w:color w:val="auto"/>
          <w:sz w:val="20"/>
          <w:szCs w:val="20"/>
        </w:rPr>
      </w:r>
    </w:p>
    <w:p>
      <w:pPr>
        <w:pStyle w:val="Normal"/>
        <w:spacing w:lineRule="auto" w:line="276"/>
        <w:jc w:val="center"/>
        <w:rPr/>
      </w:pPr>
      <w:r>
        <w:rPr>
          <w:rFonts w:cs="Arial" w:ascii="Calibri" w:hAnsi="Calibri"/>
          <w:b/>
          <w:bCs/>
          <w:color w:val="000000" w:themeColor="text1"/>
          <w:sz w:val="20"/>
          <w:szCs w:val="20"/>
        </w:rPr>
        <w:t>AVISO DE DISPENSA ELETRÔNICA Nº 133/2021</w:t>
      </w:r>
    </w:p>
    <w:p>
      <w:pPr>
        <w:pStyle w:val="Normal"/>
        <w:spacing w:lineRule="auto" w:line="276" w:before="0" w:after="120"/>
        <w:ind w:right="-15" w:hanging="0"/>
        <w:jc w:val="center"/>
        <w:rPr>
          <w:rFonts w:ascii="Calibri" w:hAnsi="Calibri" w:cs="Arial"/>
          <w:b/>
          <w:b/>
          <w:bCs/>
          <w:sz w:val="20"/>
          <w:szCs w:val="20"/>
          <w:lang w:eastAsia="en-US"/>
        </w:rPr>
      </w:pPr>
      <w:r>
        <w:rPr>
          <w:rFonts w:cs="Arial" w:ascii="Calibri" w:hAnsi="Calibri"/>
          <w:b/>
          <w:bCs/>
          <w:color w:val="000000" w:themeColor="text1"/>
          <w:sz w:val="20"/>
          <w:szCs w:val="20"/>
          <w:lang w:eastAsia="en-US"/>
        </w:rPr>
        <w:t>(Processo Administrativo n.° 64682.014114/2021-21)</w:t>
      </w:r>
    </w:p>
    <w:p>
      <w:pPr>
        <w:pStyle w:val="Normal"/>
        <w:spacing w:lineRule="auto" w:line="276" w:before="0" w:after="120"/>
        <w:ind w:right="-15" w:hanging="0"/>
        <w:jc w:val="center"/>
        <w:rPr>
          <w:color w:val="000000" w:themeColor="text1"/>
        </w:rPr>
      </w:pPr>
      <w:r>
        <w:rPr>
          <w:color w:val="000000" w:themeColor="text1"/>
        </w:rPr>
      </w:r>
    </w:p>
    <w:p>
      <w:pPr>
        <w:pStyle w:val="Normal"/>
        <w:jc w:val="center"/>
        <w:rPr>
          <w:rFonts w:cs="Arial"/>
          <w:b/>
          <w:b/>
          <w:bCs/>
          <w:lang w:eastAsia="en-US"/>
        </w:rPr>
      </w:pPr>
      <w:r>
        <w:rPr>
          <w:rFonts w:cs="Arial" w:ascii="Calibri" w:hAnsi="Calibri"/>
          <w:b/>
          <w:bCs/>
          <w:sz w:val="20"/>
          <w:szCs w:val="20"/>
          <w:lang w:eastAsia="en-US"/>
        </w:rPr>
        <w:t>ANEXO I – DOCUMENTAÇÃO EXIGIDA PARA HABILITAÇÃO</w:t>
      </w:r>
    </w:p>
    <w:p>
      <w:pPr>
        <w:pStyle w:val="Normal"/>
        <w:rPr>
          <w:rFonts w:ascii="Calibri" w:hAnsi="Calibri" w:cs="Arial"/>
          <w:sz w:val="20"/>
          <w:szCs w:val="20"/>
          <w:lang w:eastAsia="en-US"/>
        </w:rPr>
      </w:pPr>
      <w:r>
        <w:rPr>
          <w:rFonts w:cs="Arial" w:ascii="Calibri" w:hAnsi="Calibri"/>
          <w:sz w:val="20"/>
          <w:szCs w:val="20"/>
          <w:lang w:eastAsia="en-US"/>
        </w:rPr>
      </w:r>
    </w:p>
    <w:p>
      <w:pPr>
        <w:pStyle w:val="PADRO"/>
        <w:keepNext w:val="false"/>
        <w:widowControl/>
        <w:numPr>
          <w:ilvl w:val="0"/>
          <w:numId w:val="3"/>
        </w:numPr>
        <w:shd w:val="clear" w:fill="FFFFFF"/>
        <w:spacing w:before="120" w:after="120"/>
        <w:rPr/>
      </w:pPr>
      <w:r>
        <w:rPr>
          <w:rFonts w:cs="Arial" w:ascii="Calibri" w:hAnsi="Calibri"/>
          <w:b/>
          <w:bCs/>
          <w:color w:val="000000"/>
          <w:sz w:val="20"/>
          <w:szCs w:val="20"/>
        </w:rPr>
        <w:t xml:space="preserve"> </w:t>
      </w:r>
      <w:r>
        <w:rPr>
          <w:rFonts w:cs="Arial" w:ascii="Calibri" w:hAnsi="Calibri"/>
          <w:b/>
          <w:bCs/>
          <w:color w:val="000000"/>
          <w:sz w:val="20"/>
          <w:szCs w:val="20"/>
        </w:rPr>
        <w:t>Regularidade fiscal, social e trabalhista:</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ascii="Calibri" w:hAnsi="Calibri"/>
          <w:sz w:val="20"/>
          <w:szCs w:val="20"/>
          <w:lang w:eastAsia="en-US"/>
        </w:rPr>
        <w:t>prova de inscrição no Cadastro Nacional de Pessoas Jurídicas ou no Cadastro de Pessoas Físicas, conforme o caso;</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ascii="Calibri" w:hAnsi="Calibri"/>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ascii="Calibri" w:hAnsi="Calibri"/>
          <w:color w:val="000000"/>
          <w:sz w:val="20"/>
          <w:szCs w:val="20"/>
          <w:lang w:eastAsia="en-US"/>
        </w:rPr>
        <w:t>prova de regularidade com o Fundo de Garantia do Tempo de Serviço (FGTS);</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ascii="Calibri" w:hAnsi="Calibri"/>
          <w:sz w:val="20"/>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3"/>
        </w:numPr>
        <w:tabs>
          <w:tab w:val="left" w:pos="1440" w:leader="none"/>
        </w:tabs>
        <w:snapToGrid w:val="false"/>
        <w:spacing w:lineRule="auto" w:line="276" w:before="120" w:after="120"/>
        <w:jc w:val="both"/>
        <w:rPr/>
      </w:pPr>
      <w:r>
        <w:rPr>
          <w:rFonts w:cs="Arial" w:ascii="Calibri" w:hAnsi="Calibri"/>
          <w:bCs/>
          <w:sz w:val="20"/>
          <w:szCs w:val="20"/>
        </w:rPr>
        <w:t xml:space="preserve">prova de </w:t>
      </w:r>
      <w:r>
        <w:rPr>
          <w:rFonts w:cs="Arial" w:ascii="Calibri" w:hAnsi="Calibri"/>
          <w:color w:val="000000"/>
          <w:sz w:val="20"/>
          <w:szCs w:val="20"/>
        </w:rPr>
        <w:t xml:space="preserve">inscrição no cadastro de contribuintes </w:t>
      </w:r>
      <w:r>
        <w:rPr>
          <w:rFonts w:cs="Arial" w:ascii="Calibri" w:hAnsi="Calibri"/>
          <w:i w:val="false"/>
          <w:iCs w:val="false"/>
          <w:color w:val="auto"/>
          <w:sz w:val="20"/>
          <w:szCs w:val="20"/>
        </w:rPr>
        <w:t>estadual</w:t>
      </w:r>
      <w:r>
        <w:rPr>
          <w:rFonts w:cs="Arial" w:ascii="Calibri" w:hAnsi="Calibri"/>
          <w:color w:val="000000"/>
          <w:sz w:val="20"/>
          <w:szCs w:val="20"/>
        </w:rPr>
        <w:t>, relativo ao domicílio ou sede do fornecedor, pertinente ao seu ramo de atividade e compatível com o objeto contratual</w:t>
      </w:r>
      <w:r>
        <w:rPr>
          <w:rFonts w:cs="Arial" w:ascii="Calibri" w:hAnsi="Calibri"/>
          <w:bCs/>
          <w:sz w:val="20"/>
          <w:szCs w:val="20"/>
        </w:rPr>
        <w:t xml:space="preserve">; </w:t>
      </w:r>
    </w:p>
    <w:p>
      <w:pPr>
        <w:pStyle w:val="Normal"/>
        <w:numPr>
          <w:ilvl w:val="1"/>
          <w:numId w:val="3"/>
        </w:numPr>
        <w:tabs>
          <w:tab w:val="left" w:pos="1440" w:leader="none"/>
        </w:tabs>
        <w:snapToGrid w:val="false"/>
        <w:spacing w:lineRule="auto" w:line="276" w:before="120" w:after="120"/>
        <w:jc w:val="both"/>
        <w:rPr/>
      </w:pPr>
      <w:r>
        <w:rPr>
          <w:rFonts w:cs="Arial" w:ascii="Calibri" w:hAnsi="Calibri"/>
          <w:sz w:val="20"/>
          <w:szCs w:val="20"/>
        </w:rPr>
        <w:t xml:space="preserve">prova de regularidade com a Fazenda </w:t>
      </w:r>
      <w:r>
        <w:rPr>
          <w:rFonts w:cs="Arial" w:ascii="Calibri" w:hAnsi="Calibri"/>
          <w:i w:val="false"/>
          <w:iCs w:val="false"/>
          <w:color w:val="auto"/>
          <w:sz w:val="20"/>
          <w:szCs w:val="20"/>
        </w:rPr>
        <w:t>Estadual</w:t>
      </w:r>
      <w:r>
        <w:rPr>
          <w:rFonts w:cs="Arial" w:ascii="Calibri" w:hAnsi="Calibri"/>
          <w:i/>
          <w:iCs/>
          <w:color w:val="FF0000"/>
          <w:sz w:val="20"/>
          <w:szCs w:val="20"/>
        </w:rPr>
        <w:t xml:space="preserve"> </w:t>
      </w:r>
      <w:r>
        <w:rPr>
          <w:rFonts w:cs="Arial" w:ascii="Calibri" w:hAnsi="Calibri"/>
          <w:sz w:val="20"/>
          <w:szCs w:val="20"/>
        </w:rPr>
        <w:t xml:space="preserve">do domicílio ou sede do fornecedor, relativa à atividade em cujo exercício contrata ou concorre; </w:t>
      </w:r>
    </w:p>
    <w:p>
      <w:pPr>
        <w:pStyle w:val="Normal"/>
        <w:numPr>
          <w:ilvl w:val="1"/>
          <w:numId w:val="3"/>
        </w:numPr>
        <w:tabs>
          <w:tab w:val="left" w:pos="1440" w:leader="none"/>
        </w:tabs>
        <w:snapToGrid w:val="false"/>
        <w:spacing w:lineRule="auto" w:line="276" w:before="120" w:after="120"/>
        <w:jc w:val="both"/>
        <w:rPr/>
      </w:pPr>
      <w:r>
        <w:rPr>
          <w:rFonts w:cs="Arial" w:ascii="Calibri" w:hAnsi="Calibri"/>
          <w:sz w:val="20"/>
          <w:szCs w:val="20"/>
        </w:rPr>
        <w:t xml:space="preserve">caso o fornecedor seja considerado isento dos tributos </w:t>
      </w:r>
      <w:r>
        <w:rPr>
          <w:rFonts w:cs="Arial" w:ascii="Calibri" w:hAnsi="Calibri"/>
          <w:b w:val="false"/>
          <w:bCs w:val="false"/>
          <w:i w:val="false"/>
          <w:iCs w:val="false"/>
          <w:color w:val="auto"/>
          <w:sz w:val="20"/>
          <w:szCs w:val="20"/>
        </w:rPr>
        <w:t>estaduais</w:t>
      </w:r>
      <w:r>
        <w:rPr>
          <w:rFonts w:cs="Arial" w:ascii="Calibri" w:hAnsi="Calibri"/>
          <w:i/>
          <w:color w:val="FF0000"/>
          <w:sz w:val="20"/>
          <w:szCs w:val="20"/>
        </w:rPr>
        <w:t xml:space="preserve"> </w:t>
      </w:r>
      <w:r>
        <w:rPr>
          <w:rFonts w:cs="Arial" w:ascii="Calibri" w:hAnsi="Calibri"/>
          <w:sz w:val="20"/>
          <w:szCs w:val="20"/>
        </w:rPr>
        <w:t xml:space="preserve">relacionados ao objeto contratual, deverá comprovar tal condição mediante a apresentação de declaração da Fazenda respectiva do seu domicílio ou sede, ou outra equivalente, na forma da lei; </w:t>
      </w:r>
    </w:p>
    <w:p>
      <w:pPr>
        <w:pStyle w:val="Normal"/>
        <w:tabs>
          <w:tab w:val="left" w:pos="1440" w:leader="none"/>
        </w:tabs>
        <w:snapToGrid w:val="false"/>
        <w:spacing w:lineRule="auto" w:line="276" w:before="120" w:after="120"/>
        <w:jc w:val="right"/>
        <w:rPr/>
      </w:pPr>
      <w:r>
        <w:rPr>
          <w:rFonts w:cs="Arial" w:ascii="Calibri" w:hAnsi="Calibri"/>
          <w:color w:val="auto"/>
          <w:sz w:val="20"/>
          <w:szCs w:val="20"/>
        </w:rPr>
        <w:t xml:space="preserve">Pirassununga, SP, 5 de </w:t>
      </w:r>
      <w:r>
        <w:rPr>
          <w:rFonts w:eastAsia="Times New Roman" w:cs="Arial" w:ascii="Calibri" w:hAnsi="Calibri"/>
          <w:color w:val="auto"/>
          <w:kern w:val="0"/>
          <w:sz w:val="20"/>
          <w:szCs w:val="20"/>
          <w:lang w:val="pt-BR" w:eastAsia="pt-BR" w:bidi="ar-SA"/>
        </w:rPr>
        <w:t>outubro</w:t>
      </w:r>
      <w:r>
        <w:rPr>
          <w:rFonts w:cs="Arial" w:ascii="Calibri" w:hAnsi="Calibri"/>
          <w:color w:val="auto"/>
          <w:sz w:val="20"/>
          <w:szCs w:val="20"/>
        </w:rPr>
        <w:t xml:space="preserve"> de 2021.</w:t>
      </w:r>
    </w:p>
    <w:p>
      <w:pPr>
        <w:pStyle w:val="Normal"/>
        <w:tabs>
          <w:tab w:val="left" w:pos="1440" w:leader="none"/>
        </w:tabs>
        <w:snapToGrid w:val="false"/>
        <w:spacing w:lineRule="auto" w:line="276" w:before="120" w:after="120"/>
        <w:jc w:val="both"/>
        <w:rPr>
          <w:rFonts w:ascii="Calibri" w:hAnsi="Calibri" w:cs="Arial"/>
          <w:sz w:val="20"/>
          <w:szCs w:val="20"/>
        </w:rPr>
      </w:pPr>
      <w:r>
        <w:rPr>
          <w:rFonts w:cs="Arial" w:ascii="Calibri" w:hAnsi="Calibri"/>
          <w:sz w:val="20"/>
          <w:szCs w:val="20"/>
        </w:rPr>
      </w:r>
    </w:p>
    <w:p>
      <w:pPr>
        <w:pStyle w:val="Normal"/>
        <w:jc w:val="center"/>
        <w:rPr/>
      </w:pPr>
      <w:r>
        <w:rPr>
          <w:rFonts w:cs="Arial" w:ascii="Calibri" w:hAnsi="Calibri"/>
          <w:b/>
          <w:bCs/>
          <w:iCs/>
          <w:color w:val="auto"/>
          <w:sz w:val="20"/>
          <w:szCs w:val="20"/>
        </w:rPr>
        <w:t>VICTOR DE AGUIAR DA SILVA – Primeiro Tenente</w:t>
      </w:r>
    </w:p>
    <w:p>
      <w:pPr>
        <w:pStyle w:val="Normal"/>
        <w:spacing w:lineRule="auto" w:line="276" w:before="120" w:after="120"/>
        <w:jc w:val="center"/>
        <w:rPr/>
      </w:pPr>
      <w:r>
        <w:rPr>
          <w:rFonts w:cs="Arial" w:ascii="Calibri" w:hAnsi="Calibri"/>
          <w:bCs/>
          <w:iCs/>
          <w:color w:val="auto"/>
          <w:sz w:val="20"/>
          <w:szCs w:val="20"/>
        </w:rPr>
        <w:t>Chefe da Seção de Aquisições, Licitações e Contratos</w:t>
      </w:r>
    </w:p>
    <w:p>
      <w:pPr>
        <w:pStyle w:val="Normal"/>
        <w:spacing w:lineRule="auto" w:line="276" w:before="120" w:after="120"/>
        <w:jc w:val="both"/>
        <w:rPr>
          <w:rFonts w:ascii="Calibri" w:hAnsi="Calibri" w:cs="Arial"/>
          <w:color w:val="000000"/>
          <w:sz w:val="20"/>
          <w:szCs w:val="20"/>
        </w:rPr>
      </w:pPr>
      <w:r>
        <w:rPr>
          <w:rFonts w:cs="Arial" w:ascii="Calibri" w:hAnsi="Calibri"/>
          <w:color w:val="000000"/>
          <w:sz w:val="20"/>
          <w:szCs w:val="20"/>
        </w:rPr>
      </w:r>
    </w:p>
    <w:p>
      <w:pPr>
        <w:pStyle w:val="Normal"/>
        <w:spacing w:lineRule="auto" w:line="276" w:before="120" w:after="120"/>
        <w:jc w:val="both"/>
        <w:rPr>
          <w:rFonts w:ascii="Calibri" w:hAnsi="Calibri" w:cs="Arial"/>
          <w:color w:val="000000"/>
          <w:sz w:val="20"/>
          <w:szCs w:val="20"/>
        </w:rPr>
      </w:pPr>
      <w:r>
        <w:rPr>
          <w:rFonts w:cs="Arial" w:ascii="Calibri" w:hAnsi="Calibri"/>
          <w:color w:val="000000"/>
          <w:sz w:val="20"/>
          <w:szCs w:val="20"/>
        </w:rPr>
      </w:r>
    </w:p>
    <w:p>
      <w:pPr>
        <w:pStyle w:val="Normal"/>
        <w:jc w:val="center"/>
        <w:rPr/>
      </w:pPr>
      <w:r>
        <w:rPr>
          <w:rFonts w:eastAsia="Times New Roman" w:cs="Arial" w:ascii="Calibri" w:hAnsi="Calibri"/>
          <w:b/>
          <w:bCs/>
          <w:iCs/>
          <w:color w:val="auto"/>
          <w:kern w:val="0"/>
          <w:sz w:val="20"/>
          <w:szCs w:val="20"/>
          <w:lang w:val="pt-BR" w:eastAsia="pt-BR" w:bidi="ar-SA"/>
        </w:rPr>
        <w:t>DANIEL COUTINHO E SOUZA</w:t>
      </w:r>
      <w:r>
        <w:rPr>
          <w:rFonts w:cs="Arial" w:ascii="Calibri" w:hAnsi="Calibri"/>
          <w:b/>
          <w:bCs/>
          <w:iCs/>
          <w:color w:val="auto"/>
          <w:sz w:val="20"/>
          <w:szCs w:val="20"/>
        </w:rPr>
        <w:t xml:space="preserve"> – Tenente Coronel</w:t>
      </w:r>
    </w:p>
    <w:p>
      <w:pPr>
        <w:pStyle w:val="Normal"/>
        <w:tabs>
          <w:tab w:val="left" w:pos="1440" w:leader="none"/>
        </w:tabs>
        <w:snapToGrid w:val="false"/>
        <w:spacing w:lineRule="auto" w:line="276" w:before="0" w:after="120"/>
        <w:ind w:left="360" w:right="-15" w:hanging="0"/>
        <w:jc w:val="center"/>
        <w:rPr/>
      </w:pPr>
      <w:r>
        <w:rPr>
          <w:rFonts w:cs="Arial" w:ascii="Calibri" w:hAnsi="Calibri"/>
          <w:bCs/>
          <w:iCs/>
          <w:color w:val="auto"/>
          <w:sz w:val="20"/>
          <w:szCs w:val="20"/>
          <w:lang w:eastAsia="en-US"/>
        </w:rPr>
        <w:t>Ordenador de Despesas</w:t>
      </w:r>
      <w:r>
        <w:rPr>
          <w:rFonts w:cs="Arial" w:ascii="Calibri" w:hAnsi="Calibri"/>
          <w:bCs/>
          <w:iCs/>
          <w:color w:val="000000"/>
          <w:sz w:val="20"/>
          <w:szCs w:val="20"/>
          <w:lang w:eastAsia="en-US"/>
        </w:rPr>
        <w:t xml:space="preserve"> do 13 º RC Mec</w:t>
      </w:r>
    </w:p>
    <w:sectPr>
      <w:footerReference w:type="default" r:id="rId7"/>
      <w:type w:val="nextPage"/>
      <w:pgSz w:w="11906" w:h="16838"/>
      <w:pgMar w:left="1701" w:right="1701" w:header="0" w:top="855" w:footer="400" w:bottom="45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Fonts w:ascii="Arial" w:hAnsi="Arial"/>
      </w:rPr>
    </w:lvl>
    <w:lvl w:ilvl="1">
      <w:start w:val="1"/>
      <w:numFmt w:val="decimal"/>
      <w:lvlText w:val="%1.%2."/>
      <w:lvlJc w:val="left"/>
      <w:pPr>
        <w:ind w:left="792" w:hanging="432"/>
      </w:pPr>
      <w:rPr>
        <w:i w:val="false"/>
        <w:b/>
        <w:iCs/>
      </w:rPr>
    </w:lvl>
    <w:lvl w:ilvl="2">
      <w:start w:val="1"/>
      <w:numFmt w:val="decimal"/>
      <w:lvlText w:val="%1.%2.%3."/>
      <w:lvlJc w:val="left"/>
      <w:pPr>
        <w:ind w:left="1224" w:hanging="504"/>
      </w:pPr>
      <w:rPr>
        <w:i w:val="false"/>
        <w:b/>
        <w:iCs/>
        <w:rFonts w:cs="Arial"/>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lvl w:ilvl="0">
      <w:start w:val="1"/>
      <w:numFmt w:val="decimal"/>
      <w:lvlText w:val="%1"/>
      <w:lvlJc w:val="left"/>
      <w:pPr>
        <w:ind w:left="360" w:hanging="360"/>
      </w:pPr>
    </w:lvl>
    <w:lvl w:ilvl="1">
      <w:start w:val="1"/>
      <w:numFmt w:val="decimal"/>
      <w:lvlText w:val="%1.%2"/>
      <w:lvlJc w:val="left"/>
      <w:pPr>
        <w:ind w:left="927" w:hanging="360"/>
      </w:pPr>
      <w:rPr>
        <w:b/>
      </w:rPr>
    </w:lvl>
    <w:lvl w:ilvl="2">
      <w:start w:val="1"/>
      <w:numFmt w:val="decimal"/>
      <w:lvlText w:val="%1.%2.%3"/>
      <w:lvlJc w:val="left"/>
      <w:pPr>
        <w:ind w:left="1854" w:hanging="720"/>
      </w:pPr>
      <w:rPr>
        <w:sz w:val="20"/>
        <w:b/>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decimal"/>
      <w:lvlText w:val="%1.%2.%3."/>
      <w:lvlJc w:val="left"/>
      <w:pPr>
        <w:ind w:left="1224" w:hanging="504"/>
      </w:pPr>
      <w:rPr>
        <w:i w:val="false"/>
        <w:b w:val="false"/>
        <w:iCs/>
        <w:rFonts w:cs="Arial"/>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lowerLetter"/>
      <w:lvlText w:val="%3)"/>
      <w:lvlJc w:val="left"/>
      <w:pPr>
        <w:ind w:left="1224" w:hanging="504"/>
      </w:pPr>
      <w:rPr>
        <w:i w:val="false"/>
        <w:b w:val="false"/>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d0e1a"/>
    <w:pPr>
      <w:widowControl/>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Citao"/>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link w:val="Ttulo1"/>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link w:val="citao2"/>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Textodecomentrio"/>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ssuntodocomentrio"/>
    <w:uiPriority w:val="99"/>
    <w:semiHidden/>
    <w:qFormat/>
    <w:rsid w:val="003d08af"/>
    <w:rPr>
      <w:rFonts w:ascii="Arial" w:hAnsi="Arial" w:eastAsia="Times New Roman" w:cs="Tahoma"/>
      <w:b/>
      <w:bCs/>
      <w:sz w:val="20"/>
      <w:szCs w:val="20"/>
      <w:lang w:eastAsia="pt-BR"/>
    </w:rPr>
  </w:style>
  <w:style w:type="character" w:styleId="LinkdaInternet">
    <w:name w:val="Link da Internet"/>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Textodebalo"/>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link w:val="Cabealho"/>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link w:val="Rodap"/>
    <w:uiPriority w:val="99"/>
    <w:qFormat/>
    <w:rsid w:val="00805244"/>
    <w:rPr>
      <w:rFonts w:ascii="Arial" w:hAnsi="Arial" w:eastAsia="Times New Roman" w:cs="Tahoma"/>
      <w:sz w:val="20"/>
      <w:szCs w:val="24"/>
      <w:lang w:eastAsia="pt-BR"/>
    </w:rPr>
  </w:style>
  <w:style w:type="character" w:styleId="ListLabel1">
    <w:name w:val="ListLabel 1"/>
    <w:qFormat/>
    <w:rPr>
      <w:rFonts w:ascii="Arial" w:hAnsi="Arial"/>
      <w:b/>
    </w:rPr>
  </w:style>
  <w:style w:type="character" w:styleId="ListLabel2">
    <w:name w:val="ListLabel 2"/>
    <w:qFormat/>
    <w:rPr>
      <w:rFonts w:ascii="Arial" w:hAnsi="Arial"/>
      <w:b/>
      <w:i w:val="false"/>
      <w:iCs/>
    </w:rPr>
  </w:style>
  <w:style w:type="character" w:styleId="ListLabel3">
    <w:name w:val="ListLabel 3"/>
    <w:qFormat/>
    <w:rPr>
      <w:rFonts w:ascii="Arial" w:hAnsi="Arial" w:cs="Arial"/>
      <w:b/>
      <w:i w:val="false"/>
      <w:iCs/>
      <w:color w:val="auto"/>
    </w:rPr>
  </w:style>
  <w:style w:type="character" w:styleId="ListLabel4">
    <w:name w:val="ListLabel 4"/>
    <w:qFormat/>
    <w:rPr>
      <w:rFonts w:cs="Arial"/>
    </w:rPr>
  </w:style>
  <w:style w:type="character" w:styleId="ListLabel5">
    <w:name w:val="ListLabel 5"/>
    <w:qFormat/>
    <w:rPr>
      <w:color w:val="auto"/>
    </w:rPr>
  </w:style>
  <w:style w:type="character" w:styleId="ListLabel6">
    <w:name w:val="ListLabel 6"/>
    <w:qFormat/>
    <w:rPr>
      <w:color w:val="auto"/>
    </w:rPr>
  </w:style>
  <w:style w:type="character" w:styleId="ListLabel7">
    <w:name w:val="ListLabel 7"/>
    <w:qFormat/>
    <w:rPr>
      <w:color w:val="auto"/>
    </w:rPr>
  </w:style>
  <w:style w:type="character" w:styleId="ListLabel8">
    <w:name w:val="ListLabel 8"/>
    <w:qFormat/>
    <w:rPr>
      <w:color w:val="auto"/>
    </w:rPr>
  </w:style>
  <w:style w:type="character" w:styleId="ListLabel9">
    <w:name w:val="ListLabel 9"/>
    <w:qFormat/>
    <w:rPr>
      <w:color w:val="auto"/>
    </w:rPr>
  </w:style>
  <w:style w:type="character" w:styleId="ListLabel10">
    <w:name w:val="ListLabel 10"/>
    <w:qFormat/>
    <w:rPr>
      <w:color w:val="auto"/>
    </w:rPr>
  </w:style>
  <w:style w:type="character" w:styleId="ListLabel11">
    <w:name w:val="ListLabel 11"/>
    <w:qFormat/>
    <w:rPr>
      <w:color w:val="auto"/>
    </w:rPr>
  </w:style>
  <w:style w:type="character" w:styleId="ListLabel12">
    <w:name w:val="ListLabel 12"/>
    <w:qFormat/>
    <w:rPr>
      <w:color w:val="auto"/>
    </w:rPr>
  </w:style>
  <w:style w:type="character" w:styleId="ListLabel13">
    <w:name w:val="ListLabel 13"/>
    <w:qFormat/>
    <w:rPr>
      <w:color w:val="auto"/>
    </w:rPr>
  </w:style>
  <w:style w:type="character" w:styleId="ListLabel14">
    <w:name w:val="ListLabel 14"/>
    <w:qFormat/>
    <w:rPr>
      <w:b/>
    </w:rPr>
  </w:style>
  <w:style w:type="character" w:styleId="ListLabel15">
    <w:name w:val="ListLabel 15"/>
    <w:qFormat/>
    <w:rPr>
      <w:b w:val="false"/>
      <w:i w:val="false"/>
      <w:iCs/>
    </w:rPr>
  </w:style>
  <w:style w:type="character" w:styleId="ListLabel16">
    <w:name w:val="ListLabel 16"/>
    <w:qFormat/>
    <w:rPr>
      <w:rFonts w:cs="Arial"/>
      <w:b w:val="false"/>
      <w:i w:val="false"/>
      <w:iCs/>
      <w:color w:val="auto"/>
    </w:rPr>
  </w:style>
  <w:style w:type="character" w:styleId="ListLabel17">
    <w:name w:val="ListLabel 17"/>
    <w:qFormat/>
    <w:rPr>
      <w:i w:val="false"/>
      <w:color w:val="000000"/>
    </w:rPr>
  </w:style>
  <w:style w:type="character" w:styleId="ListLabel18">
    <w:name w:val="ListLabel 18"/>
    <w:qFormat/>
    <w:rPr>
      <w:i w:val="false"/>
      <w:color w:val="000000"/>
    </w:rPr>
  </w:style>
  <w:style w:type="character" w:styleId="ListLabel19">
    <w:name w:val="ListLabel 19"/>
    <w:qFormat/>
    <w:rPr>
      <w:i w:val="false"/>
      <w:color w:val="000000"/>
    </w:rPr>
  </w:style>
  <w:style w:type="character" w:styleId="ListLabel20">
    <w:name w:val="ListLabel 20"/>
    <w:qFormat/>
    <w:rPr>
      <w:i w:val="false"/>
      <w:color w:val="000000"/>
    </w:rPr>
  </w:style>
  <w:style w:type="character" w:styleId="ListLabel21">
    <w:name w:val="ListLabel 21"/>
    <w:qFormat/>
    <w:rPr>
      <w:i w:val="false"/>
      <w:color w:val="000000"/>
    </w:rPr>
  </w:style>
  <w:style w:type="character" w:styleId="ListLabel22">
    <w:name w:val="ListLabel 22"/>
    <w:qFormat/>
    <w:rPr>
      <w:i w:val="false"/>
      <w:color w:val="000000"/>
    </w:rPr>
  </w:style>
  <w:style w:type="character" w:styleId="ListLabel23">
    <w:name w:val="ListLabel 23"/>
    <w:qFormat/>
    <w:rPr>
      <w:i w:val="false"/>
      <w:color w:val="000000"/>
    </w:rPr>
  </w:style>
  <w:style w:type="character" w:styleId="ListLabel24">
    <w:name w:val="ListLabel 24"/>
    <w:qFormat/>
    <w:rPr>
      <w:i w:val="false"/>
      <w:color w:val="000000"/>
    </w:rPr>
  </w:style>
  <w:style w:type="character" w:styleId="ListLabel25">
    <w:name w:val="ListLabel 25"/>
    <w:qFormat/>
    <w:rPr>
      <w:i w:val="false"/>
      <w:color w:val="000000"/>
    </w:rPr>
  </w:style>
  <w:style w:type="character" w:styleId="ListLabel26">
    <w:name w:val="ListLabel 26"/>
    <w:qFormat/>
    <w:rPr>
      <w:b/>
    </w:rPr>
  </w:style>
  <w:style w:type="character" w:styleId="ListLabel27">
    <w:name w:val="ListLabel 27"/>
    <w:qFormat/>
    <w:rPr>
      <w:b w:val="false"/>
      <w:i w:val="false"/>
      <w:iCs/>
    </w:rPr>
  </w:style>
  <w:style w:type="character" w:styleId="ListLabel28">
    <w:name w:val="ListLabel 28"/>
    <w:qFormat/>
    <w:rPr>
      <w:rFonts w:cs="Arial"/>
      <w:b w:val="false"/>
      <w:i w:val="false"/>
      <w:iCs/>
      <w:color w:val="auto"/>
    </w:rPr>
  </w:style>
  <w:style w:type="character" w:styleId="ListLabel29">
    <w:name w:val="ListLabel 29"/>
    <w:qFormat/>
    <w:rPr>
      <w:b/>
    </w:rPr>
  </w:style>
  <w:style w:type="character" w:styleId="ListLabel30">
    <w:name w:val="ListLabel 30"/>
    <w:qFormat/>
    <w:rPr>
      <w:b w:val="false"/>
      <w:i w:val="false"/>
      <w:iCs/>
    </w:rPr>
  </w:style>
  <w:style w:type="character" w:styleId="ListLabel31">
    <w:name w:val="ListLabel 31"/>
    <w:qFormat/>
    <w:rPr>
      <w:rFonts w:cs="Arial"/>
      <w:b w:val="false"/>
      <w:i w:val="false"/>
      <w:iCs/>
      <w:color w:val="auto"/>
    </w:rPr>
  </w:style>
  <w:style w:type="character" w:styleId="ListLabel32">
    <w:name w:val="ListLabel 32"/>
    <w:qFormat/>
    <w:rPr>
      <w:b/>
    </w:rPr>
  </w:style>
  <w:style w:type="character" w:styleId="ListLabel33">
    <w:name w:val="ListLabel 33"/>
    <w:qFormat/>
    <w:rPr>
      <w:b w:val="false"/>
      <w:i w:val="false"/>
      <w:iCs/>
    </w:rPr>
  </w:style>
  <w:style w:type="character" w:styleId="ListLabel34">
    <w:name w:val="ListLabel 34"/>
    <w:qFormat/>
    <w:rPr>
      <w:rFonts w:cs="Arial"/>
      <w:b w:val="false"/>
      <w:i w:val="false"/>
      <w:iCs/>
      <w:color w:val="auto"/>
    </w:rPr>
  </w:style>
  <w:style w:type="character" w:styleId="ListLabel35">
    <w:name w:val="ListLabel 35"/>
    <w:qFormat/>
    <w:rPr>
      <w:b/>
    </w:rPr>
  </w:style>
  <w:style w:type="character" w:styleId="ListLabel36">
    <w:name w:val="ListLabel 36"/>
    <w:qFormat/>
    <w:rPr>
      <w:b w:val="false"/>
      <w:i w:val="false"/>
      <w:iCs/>
    </w:rPr>
  </w:style>
  <w:style w:type="character" w:styleId="ListLabel37">
    <w:name w:val="ListLabel 37"/>
    <w:qFormat/>
    <w:rPr>
      <w:rFonts w:cs="Arial"/>
      <w:b w:val="false"/>
      <w:i w:val="false"/>
      <w:iCs/>
      <w:color w:val="auto"/>
    </w:rPr>
  </w:style>
  <w:style w:type="character" w:styleId="ListLabel38">
    <w:name w:val="ListLabel 38"/>
    <w:qFormat/>
    <w:rPr>
      <w:b/>
    </w:rPr>
  </w:style>
  <w:style w:type="character" w:styleId="ListLabel39">
    <w:name w:val="ListLabel 39"/>
    <w:qFormat/>
    <w:rPr>
      <w:b w:val="false"/>
      <w:i w:val="false"/>
      <w:iCs/>
    </w:rPr>
  </w:style>
  <w:style w:type="character" w:styleId="ListLabel40">
    <w:name w:val="ListLabel 40"/>
    <w:qFormat/>
    <w:rPr>
      <w:rFonts w:cs="Arial"/>
      <w:b w:val="false"/>
      <w:i w:val="false"/>
      <w:iCs/>
      <w:color w:val="auto"/>
    </w:rPr>
  </w:style>
  <w:style w:type="character" w:styleId="ListLabel41">
    <w:name w:val="ListLabel 41"/>
    <w:qFormat/>
    <w:rPr>
      <w:b/>
      <w:i w:val="false"/>
      <w:strike w:val="false"/>
      <w:dstrike w:val="false"/>
    </w:rPr>
  </w:style>
  <w:style w:type="character" w:styleId="ListLabel42">
    <w:name w:val="ListLabel 42"/>
    <w:qFormat/>
    <w:rPr>
      <w:b w:val="false"/>
      <w:strike w:val="false"/>
      <w:dstrike w:val="false"/>
    </w:rPr>
  </w:style>
  <w:style w:type="character" w:styleId="ListLabel43">
    <w:name w:val="ListLabel 43"/>
    <w:qFormat/>
    <w:rPr>
      <w:i w:val="false"/>
      <w:strike w:val="false"/>
      <w:dstrike w:val="false"/>
    </w:rPr>
  </w:style>
  <w:style w:type="character" w:styleId="ListLabel44">
    <w:name w:val="ListLabel 44"/>
    <w:qFormat/>
    <w:rPr>
      <w:b w:val="false"/>
    </w:rPr>
  </w:style>
  <w:style w:type="character" w:styleId="ListLabel45">
    <w:name w:val="ListLabel 45"/>
    <w:qFormat/>
    <w:rPr>
      <w:b w:val="false"/>
    </w:rPr>
  </w:style>
  <w:style w:type="character" w:styleId="ListLabel46">
    <w:name w:val="ListLabel 46"/>
    <w:qFormat/>
    <w:rPr>
      <w:b w:val="false"/>
    </w:rPr>
  </w:style>
  <w:style w:type="character" w:styleId="ListLabel47">
    <w:name w:val="ListLabel 47"/>
    <w:qFormat/>
    <w:rPr>
      <w:b w:val="false"/>
    </w:rPr>
  </w:style>
  <w:style w:type="character" w:styleId="ListLabel48">
    <w:name w:val="ListLabel 48"/>
    <w:qFormat/>
    <w:rPr>
      <w:rFonts w:ascii="Arial" w:hAnsi="Arial"/>
      <w:b/>
    </w:rPr>
  </w:style>
  <w:style w:type="character" w:styleId="ListLabel49">
    <w:name w:val="ListLabel 49"/>
    <w:qFormat/>
    <w:rPr>
      <w:rFonts w:ascii="Arial" w:hAnsi="Arial"/>
      <w:b/>
    </w:rPr>
  </w:style>
  <w:style w:type="character" w:styleId="ListLabel50">
    <w:name w:val="ListLabel 50"/>
    <w:qFormat/>
    <w:rPr>
      <w:b/>
    </w:rPr>
  </w:style>
  <w:style w:type="character" w:styleId="ListLabel51">
    <w:name w:val="ListLabel 51"/>
    <w:qFormat/>
    <w:rPr>
      <w:b w:val="false"/>
      <w:i w:val="false"/>
      <w:iCs/>
    </w:rPr>
  </w:style>
  <w:style w:type="character" w:styleId="ListLabel52">
    <w:name w:val="ListLabel 52"/>
    <w:qFormat/>
    <w:rPr>
      <w:rFonts w:cs="Arial"/>
      <w:b w:val="false"/>
      <w:i w:val="false"/>
      <w:iCs/>
      <w:color w:val="auto"/>
    </w:rPr>
  </w:style>
  <w:style w:type="character" w:styleId="ListLabel53">
    <w:name w:val="ListLabel 53"/>
    <w:qFormat/>
    <w:rPr>
      <w:rFonts w:cs="Courier New"/>
    </w:rPr>
  </w:style>
  <w:style w:type="character" w:styleId="ListLabel54">
    <w:name w:val="ListLabel 54"/>
    <w:qFormat/>
    <w:rPr>
      <w:rFonts w:cs="Courier New"/>
    </w:rPr>
  </w:style>
  <w:style w:type="character" w:styleId="ListLabel55">
    <w:name w:val="ListLabel 55"/>
    <w:qFormat/>
    <w:rPr>
      <w:rFonts w:cs="Courier New"/>
    </w:rPr>
  </w:style>
  <w:style w:type="character" w:styleId="ListLabel56">
    <w:name w:val="ListLabel 56"/>
    <w:qFormat/>
    <w:rPr>
      <w:b/>
    </w:rPr>
  </w:style>
  <w:style w:type="character" w:styleId="ListLabel57">
    <w:name w:val="ListLabel 57"/>
    <w:qFormat/>
    <w:rPr>
      <w:b w:val="false"/>
      <w:i w:val="false"/>
      <w:iCs/>
    </w:rPr>
  </w:style>
  <w:style w:type="character" w:styleId="ListLabel58">
    <w:name w:val="ListLabel 58"/>
    <w:qFormat/>
    <w:rPr>
      <w:rFonts w:cs="Arial"/>
      <w:b w:val="false"/>
      <w:i w:val="false"/>
      <w:iCs/>
      <w:color w:val="auto"/>
    </w:rPr>
  </w:style>
  <w:style w:type="character" w:styleId="ListLabel59">
    <w:name w:val="ListLabel 59"/>
    <w:qFormat/>
    <w:rPr>
      <w:rFonts w:eastAsia="" w:cs="Arial"/>
      <w:b/>
    </w:rPr>
  </w:style>
  <w:style w:type="character" w:styleId="ListLabel60">
    <w:name w:val="ListLabel 60"/>
    <w:qFormat/>
    <w:rPr>
      <w:b w:val="false"/>
      <w:i w:val="false"/>
      <w:iCs/>
    </w:rPr>
  </w:style>
  <w:style w:type="character" w:styleId="ListLabel61">
    <w:name w:val="ListLabel 61"/>
    <w:qFormat/>
    <w:rPr>
      <w:b w:val="false"/>
      <w:i w:val="false"/>
      <w:iCs/>
      <w:color w:val="auto"/>
    </w:rPr>
  </w:style>
  <w:style w:type="character" w:styleId="ListLabel62">
    <w:name w:val="ListLabel 62"/>
    <w:qFormat/>
    <w:rPr>
      <w:b/>
    </w:rPr>
  </w:style>
  <w:style w:type="character" w:styleId="ListLabel63">
    <w:name w:val="ListLabel 63"/>
    <w:qFormat/>
    <w:rPr>
      <w:b w:val="false"/>
      <w:i w:val="false"/>
      <w:iCs/>
    </w:rPr>
  </w:style>
  <w:style w:type="character" w:styleId="ListLabel64">
    <w:name w:val="ListLabel 64"/>
    <w:qFormat/>
    <w:rPr>
      <w:rFonts w:cs="Arial"/>
      <w:b w:val="false"/>
      <w:i w:val="false"/>
      <w:iCs/>
      <w:color w:val="auto"/>
    </w:rPr>
  </w:style>
  <w:style w:type="character" w:styleId="ListLabel65">
    <w:name w:val="ListLabel 65"/>
    <w:qFormat/>
    <w:rPr>
      <w:b/>
    </w:rPr>
  </w:style>
  <w:style w:type="character" w:styleId="ListLabel66">
    <w:name w:val="ListLabel 66"/>
    <w:qFormat/>
    <w:rPr>
      <w:b w:val="false"/>
      <w:i w:val="false"/>
      <w:iCs/>
    </w:rPr>
  </w:style>
  <w:style w:type="character" w:styleId="ListLabel67">
    <w:name w:val="ListLabel 67"/>
    <w:qFormat/>
    <w:rPr>
      <w:rFonts w:cs="Arial"/>
      <w:b w:val="false"/>
      <w:i w:val="false"/>
      <w:iCs/>
      <w:color w:val="auto"/>
    </w:rPr>
  </w:style>
  <w:style w:type="character" w:styleId="ListLabel68">
    <w:name w:val="ListLabel 68"/>
    <w:qFormat/>
    <w:rPr>
      <w:b/>
    </w:rPr>
  </w:style>
  <w:style w:type="character" w:styleId="ListLabel69">
    <w:name w:val="ListLabel 69"/>
    <w:qFormat/>
    <w:rPr>
      <w:b w:val="false"/>
      <w:i w:val="false"/>
      <w:iCs/>
    </w:rPr>
  </w:style>
  <w:style w:type="character" w:styleId="ListLabel70">
    <w:name w:val="ListLabel 70"/>
    <w:qFormat/>
    <w:rPr>
      <w:b w:val="false"/>
      <w:i w:val="false"/>
      <w:iCs/>
      <w:color w:val="auto"/>
    </w:rPr>
  </w:style>
  <w:style w:type="character" w:styleId="ListLabel71">
    <w:name w:val="ListLabel 71"/>
    <w:qFormat/>
    <w:rPr>
      <w:rFonts w:cs="Arial"/>
    </w:rPr>
  </w:style>
  <w:style w:type="character" w:styleId="ListLabel72">
    <w:name w:val="ListLabel 72"/>
    <w:qFormat/>
    <w:rPr>
      <w:rFonts w:eastAsia="Calibri" w:cs="Arial"/>
      <w:szCs w:val="20"/>
    </w:rPr>
  </w:style>
  <w:style w:type="character" w:styleId="ListLabel73">
    <w:name w:val="ListLabel 73"/>
    <w:qFormat/>
    <w:rPr>
      <w:rFonts w:eastAsia="Calibri" w:cs="Arial"/>
      <w:lang w:eastAsia="ar-SA"/>
    </w:rPr>
  </w:style>
  <w:style w:type="character" w:styleId="ListLabel74">
    <w:name w:val="ListLabel 74"/>
    <w:qFormat/>
    <w:rPr>
      <w:color w:val="000000"/>
    </w:rPr>
  </w:style>
  <w:style w:type="character" w:styleId="ListLabel75">
    <w:name w:val="ListLabel 75"/>
    <w:qFormat/>
    <w:rPr>
      <w:rFonts w:ascii="Arial" w:hAnsi="Arial"/>
      <w:b/>
    </w:rPr>
  </w:style>
  <w:style w:type="character" w:styleId="ListLabel76">
    <w:name w:val="ListLabel 76"/>
    <w:qFormat/>
    <w:rPr>
      <w:rFonts w:ascii="Arial" w:hAnsi="Arial"/>
      <w:b/>
      <w:i w:val="false"/>
      <w:iCs/>
    </w:rPr>
  </w:style>
  <w:style w:type="character" w:styleId="ListLabel77">
    <w:name w:val="ListLabel 77"/>
    <w:qFormat/>
    <w:rPr>
      <w:rFonts w:ascii="Arial" w:hAnsi="Arial" w:cs="Arial"/>
      <w:b/>
      <w:i w:val="false"/>
      <w:iCs/>
      <w:color w:val="auto"/>
    </w:rPr>
  </w:style>
  <w:style w:type="character" w:styleId="ListLabel78">
    <w:name w:val="ListLabel 78"/>
    <w:qFormat/>
    <w:rPr>
      <w:rFonts w:ascii="Arial" w:hAnsi="Arial"/>
      <w:b/>
    </w:rPr>
  </w:style>
  <w:style w:type="character" w:styleId="ListLabel79">
    <w:name w:val="ListLabel 79"/>
    <w:qFormat/>
    <w:rPr>
      <w:rFonts w:ascii="Arial" w:hAnsi="Arial"/>
      <w:b/>
    </w:rPr>
  </w:style>
  <w:style w:type="character" w:styleId="ListLabel80">
    <w:name w:val="ListLabel 80"/>
    <w:qFormat/>
    <w:rPr>
      <w:b/>
    </w:rPr>
  </w:style>
  <w:style w:type="character" w:styleId="ListLabel81">
    <w:name w:val="ListLabel 81"/>
    <w:qFormat/>
    <w:rPr>
      <w:b w:val="false"/>
      <w:i w:val="false"/>
      <w:iCs/>
    </w:rPr>
  </w:style>
  <w:style w:type="character" w:styleId="ListLabel82">
    <w:name w:val="ListLabel 82"/>
    <w:qFormat/>
    <w:rPr>
      <w:rFonts w:cs="Arial"/>
      <w:b w:val="false"/>
      <w:i w:val="false"/>
      <w:iCs/>
      <w:color w:val="auto"/>
    </w:rPr>
  </w:style>
  <w:style w:type="character" w:styleId="ListLabel83">
    <w:name w:val="ListLabel 83"/>
    <w:qFormat/>
    <w:rPr>
      <w:b/>
    </w:rPr>
  </w:style>
  <w:style w:type="character" w:styleId="ListLabel84">
    <w:name w:val="ListLabel 84"/>
    <w:qFormat/>
    <w:rPr>
      <w:b w:val="false"/>
      <w:i w:val="false"/>
      <w:iCs/>
    </w:rPr>
  </w:style>
  <w:style w:type="character" w:styleId="ListLabel85">
    <w:name w:val="ListLabel 85"/>
    <w:qFormat/>
    <w:rPr>
      <w:b w:val="false"/>
      <w:i w:val="false"/>
      <w:iCs/>
      <w:color w:val="auto"/>
    </w:rPr>
  </w:style>
  <w:style w:type="character" w:styleId="ListLabel86">
    <w:name w:val="ListLabel 86"/>
    <w:qFormat/>
    <w:rPr>
      <w:rFonts w:cs="Arial"/>
    </w:rPr>
  </w:style>
  <w:style w:type="character" w:styleId="ListLabel87">
    <w:name w:val="ListLabel 87"/>
    <w:qFormat/>
    <w:rPr>
      <w:rFonts w:eastAsia="Calibri" w:cs="Arial"/>
      <w:szCs w:val="20"/>
    </w:rPr>
  </w:style>
  <w:style w:type="character" w:styleId="ListLabel88">
    <w:name w:val="ListLabel 88"/>
    <w:qFormat/>
    <w:rPr>
      <w:rFonts w:eastAsia="Calibri" w:cs="Arial"/>
      <w:lang w:eastAsia="ar-SA"/>
    </w:rPr>
  </w:style>
  <w:style w:type="character" w:styleId="ListLabel89">
    <w:name w:val="ListLabel 89"/>
    <w:qFormat/>
    <w:rPr>
      <w:color w:val="000000"/>
    </w:rPr>
  </w:style>
  <w:style w:type="character" w:styleId="ListLabel90">
    <w:name w:val="ListLabel 90"/>
    <w:qFormat/>
    <w:rPr>
      <w:rFonts w:ascii="Arial" w:hAnsi="Arial"/>
      <w:b/>
    </w:rPr>
  </w:style>
  <w:style w:type="character" w:styleId="ListLabel91">
    <w:name w:val="ListLabel 91"/>
    <w:qFormat/>
    <w:rPr>
      <w:rFonts w:ascii="Arial" w:hAnsi="Arial"/>
      <w:b/>
      <w:i w:val="false"/>
      <w:iCs/>
    </w:rPr>
  </w:style>
  <w:style w:type="character" w:styleId="ListLabel92">
    <w:name w:val="ListLabel 92"/>
    <w:qFormat/>
    <w:rPr>
      <w:rFonts w:ascii="Arial" w:hAnsi="Arial" w:cs="Arial"/>
      <w:b/>
      <w:i w:val="false"/>
      <w:iCs/>
      <w:color w:val="auto"/>
    </w:rPr>
  </w:style>
  <w:style w:type="character" w:styleId="ListLabel93">
    <w:name w:val="ListLabel 93"/>
    <w:qFormat/>
    <w:rPr>
      <w:rFonts w:ascii="Arial" w:hAnsi="Arial"/>
      <w:b/>
    </w:rPr>
  </w:style>
  <w:style w:type="character" w:styleId="ListLabel94">
    <w:name w:val="ListLabel 94"/>
    <w:qFormat/>
    <w:rPr>
      <w:rFonts w:ascii="Arial" w:hAnsi="Arial"/>
      <w:b/>
    </w:rPr>
  </w:style>
  <w:style w:type="character" w:styleId="ListLabel95">
    <w:name w:val="ListLabel 95"/>
    <w:qFormat/>
    <w:rPr>
      <w:b/>
    </w:rPr>
  </w:style>
  <w:style w:type="character" w:styleId="ListLabel96">
    <w:name w:val="ListLabel 96"/>
    <w:qFormat/>
    <w:rPr>
      <w:b w:val="false"/>
      <w:i w:val="false"/>
      <w:iCs/>
    </w:rPr>
  </w:style>
  <w:style w:type="character" w:styleId="ListLabel97">
    <w:name w:val="ListLabel 97"/>
    <w:qFormat/>
    <w:rPr>
      <w:rFonts w:cs="Arial"/>
      <w:b w:val="false"/>
      <w:i w:val="false"/>
      <w:iCs/>
      <w:color w:val="auto"/>
    </w:rPr>
  </w:style>
  <w:style w:type="character" w:styleId="ListLabel98">
    <w:name w:val="ListLabel 98"/>
    <w:qFormat/>
    <w:rPr>
      <w:b/>
    </w:rPr>
  </w:style>
  <w:style w:type="character" w:styleId="ListLabel99">
    <w:name w:val="ListLabel 99"/>
    <w:qFormat/>
    <w:rPr>
      <w:b w:val="false"/>
      <w:i w:val="false"/>
      <w:iCs/>
    </w:rPr>
  </w:style>
  <w:style w:type="character" w:styleId="ListLabel100">
    <w:name w:val="ListLabel 100"/>
    <w:qFormat/>
    <w:rPr>
      <w:b w:val="false"/>
      <w:i w:val="false"/>
      <w:iCs/>
      <w:color w:val="auto"/>
    </w:rPr>
  </w:style>
  <w:style w:type="character" w:styleId="ListLabel101">
    <w:name w:val="ListLabel 101"/>
    <w:qFormat/>
    <w:rPr>
      <w:rFonts w:cs="Arial"/>
    </w:rPr>
  </w:style>
  <w:style w:type="character" w:styleId="ListLabel102">
    <w:name w:val="ListLabel 102"/>
    <w:qFormat/>
    <w:rPr>
      <w:rFonts w:eastAsia="Calibri" w:cs="Arial"/>
      <w:szCs w:val="20"/>
    </w:rPr>
  </w:style>
  <w:style w:type="character" w:styleId="ListLabel103">
    <w:name w:val="ListLabel 103"/>
    <w:qFormat/>
    <w:rPr>
      <w:rFonts w:eastAsia="Calibri" w:cs="Arial"/>
      <w:lang w:eastAsia="ar-SA"/>
    </w:rPr>
  </w:style>
  <w:style w:type="character" w:styleId="ListLabel104">
    <w:name w:val="ListLabel 104"/>
    <w:qFormat/>
    <w:rPr>
      <w:color w:val="000000"/>
    </w:rPr>
  </w:style>
  <w:style w:type="character" w:styleId="ListLabel105">
    <w:name w:val="ListLabel 105"/>
    <w:qFormat/>
    <w:rPr>
      <w:rFonts w:ascii="Arial" w:hAnsi="Arial"/>
      <w:b/>
    </w:rPr>
  </w:style>
  <w:style w:type="character" w:styleId="ListLabel106">
    <w:name w:val="ListLabel 106"/>
    <w:qFormat/>
    <w:rPr>
      <w:rFonts w:ascii="Arial" w:hAnsi="Arial"/>
      <w:b/>
      <w:i w:val="false"/>
      <w:iCs/>
    </w:rPr>
  </w:style>
  <w:style w:type="character" w:styleId="ListLabel107">
    <w:name w:val="ListLabel 107"/>
    <w:qFormat/>
    <w:rPr>
      <w:rFonts w:ascii="Arial" w:hAnsi="Arial" w:cs="Arial"/>
      <w:b/>
      <w:i w:val="false"/>
      <w:iCs/>
      <w:color w:val="auto"/>
    </w:rPr>
  </w:style>
  <w:style w:type="character" w:styleId="ListLabel108">
    <w:name w:val="ListLabel 108"/>
    <w:qFormat/>
    <w:rPr>
      <w:rFonts w:ascii="Arial" w:hAnsi="Arial"/>
      <w:b/>
    </w:rPr>
  </w:style>
  <w:style w:type="character" w:styleId="ListLabel109">
    <w:name w:val="ListLabel 109"/>
    <w:qFormat/>
    <w:rPr>
      <w:rFonts w:ascii="Calibri" w:hAnsi="Calibri"/>
      <w:b/>
      <w:sz w:val="20"/>
    </w:rPr>
  </w:style>
  <w:style w:type="character" w:styleId="ListLabel110">
    <w:name w:val="ListLabel 110"/>
    <w:qFormat/>
    <w:rPr>
      <w:b/>
    </w:rPr>
  </w:style>
  <w:style w:type="character" w:styleId="ListLabel111">
    <w:name w:val="ListLabel 111"/>
    <w:qFormat/>
    <w:rPr>
      <w:b w:val="false"/>
      <w:i w:val="false"/>
      <w:iCs/>
    </w:rPr>
  </w:style>
  <w:style w:type="character" w:styleId="ListLabel112">
    <w:name w:val="ListLabel 112"/>
    <w:qFormat/>
    <w:rPr>
      <w:rFonts w:cs="Arial"/>
      <w:b w:val="false"/>
      <w:i w:val="false"/>
      <w:iCs/>
      <w:color w:val="auto"/>
    </w:rPr>
  </w:style>
  <w:style w:type="character" w:styleId="ListLabel113">
    <w:name w:val="ListLabel 113"/>
    <w:qFormat/>
    <w:rPr>
      <w:b/>
    </w:rPr>
  </w:style>
  <w:style w:type="character" w:styleId="ListLabel114">
    <w:name w:val="ListLabel 114"/>
    <w:qFormat/>
    <w:rPr>
      <w:b w:val="false"/>
      <w:i w:val="false"/>
      <w:iCs/>
    </w:rPr>
  </w:style>
  <w:style w:type="character" w:styleId="ListLabel115">
    <w:name w:val="ListLabel 115"/>
    <w:qFormat/>
    <w:rPr>
      <w:b w:val="false"/>
      <w:i w:val="false"/>
      <w:iCs/>
      <w:color w:val="auto"/>
    </w:rPr>
  </w:style>
  <w:style w:type="character" w:styleId="ListLabel116">
    <w:name w:val="ListLabel 116"/>
    <w:qFormat/>
    <w:rPr>
      <w:rFonts w:ascii="Calibri" w:hAnsi="Calibri" w:eastAsia="Calibri" w:cs="Arial"/>
      <w:sz w:val="20"/>
      <w:szCs w:val="20"/>
    </w:rPr>
  </w:style>
  <w:style w:type="character" w:styleId="ListLabel117">
    <w:name w:val="ListLabel 117"/>
    <w:qFormat/>
    <w:rPr>
      <w:rFonts w:ascii="Calibri" w:hAnsi="Calibri" w:eastAsia="Calibri" w:cs="Arial"/>
      <w:sz w:val="20"/>
      <w:szCs w:val="20"/>
      <w:lang w:eastAsia="ar-SA"/>
    </w:rPr>
  </w:style>
  <w:style w:type="character" w:styleId="ListLabel118">
    <w:name w:val="ListLabel 118"/>
    <w:qFormat/>
    <w:rPr>
      <w:rFonts w:ascii="Calibri" w:hAnsi="Calibri"/>
      <w:color w:val="000000"/>
      <w:sz w:val="20"/>
      <w:szCs w:val="20"/>
    </w:rPr>
  </w:style>
  <w:style w:type="character" w:styleId="ListLabel119">
    <w:name w:val="ListLabel 119"/>
    <w:qFormat/>
    <w:rPr>
      <w:rFonts w:ascii="Arial" w:hAnsi="Arial"/>
      <w:b/>
    </w:rPr>
  </w:style>
  <w:style w:type="character" w:styleId="ListLabel120">
    <w:name w:val="ListLabel 120"/>
    <w:qFormat/>
    <w:rPr>
      <w:b/>
      <w:i w:val="false"/>
      <w:iCs/>
    </w:rPr>
  </w:style>
  <w:style w:type="character" w:styleId="ListLabel121">
    <w:name w:val="ListLabel 121"/>
    <w:qFormat/>
    <w:rPr>
      <w:rFonts w:cs="Arial"/>
      <w:b/>
      <w:i w:val="false"/>
      <w:iCs/>
      <w:color w:val="auto"/>
    </w:rPr>
  </w:style>
  <w:style w:type="character" w:styleId="ListLabel122">
    <w:name w:val="ListLabel 122"/>
    <w:qFormat/>
    <w:rPr>
      <w:rFonts w:ascii="Arial" w:hAnsi="Arial"/>
      <w:b/>
    </w:rPr>
  </w:style>
  <w:style w:type="character" w:styleId="ListLabel123">
    <w:name w:val="ListLabel 123"/>
    <w:qFormat/>
    <w:rPr>
      <w:rFonts w:ascii="Arial" w:hAnsi="Arial"/>
      <w:b/>
      <w:sz w:val="20"/>
    </w:rPr>
  </w:style>
  <w:style w:type="character" w:styleId="ListLabel124">
    <w:name w:val="ListLabel 124"/>
    <w:qFormat/>
    <w:rPr>
      <w:b/>
    </w:rPr>
  </w:style>
  <w:style w:type="character" w:styleId="ListLabel125">
    <w:name w:val="ListLabel 125"/>
    <w:qFormat/>
    <w:rPr>
      <w:b w:val="false"/>
      <w:i w:val="false"/>
      <w:iCs/>
    </w:rPr>
  </w:style>
  <w:style w:type="character" w:styleId="ListLabel126">
    <w:name w:val="ListLabel 126"/>
    <w:qFormat/>
    <w:rPr>
      <w:rFonts w:cs="Arial"/>
      <w:b w:val="false"/>
      <w:i w:val="false"/>
      <w:iCs/>
      <w:color w:val="auto"/>
    </w:rPr>
  </w:style>
  <w:style w:type="character" w:styleId="ListLabel127">
    <w:name w:val="ListLabel 127"/>
    <w:qFormat/>
    <w:rPr>
      <w:b/>
    </w:rPr>
  </w:style>
  <w:style w:type="character" w:styleId="ListLabel128">
    <w:name w:val="ListLabel 128"/>
    <w:qFormat/>
    <w:rPr>
      <w:b w:val="false"/>
      <w:i w:val="false"/>
      <w:iCs/>
    </w:rPr>
  </w:style>
  <w:style w:type="character" w:styleId="ListLabel129">
    <w:name w:val="ListLabel 129"/>
    <w:qFormat/>
    <w:rPr>
      <w:b w:val="false"/>
      <w:i w:val="false"/>
      <w:iCs/>
      <w:color w:val="auto"/>
    </w:rPr>
  </w:style>
  <w:style w:type="character" w:styleId="ListLabel130">
    <w:name w:val="ListLabel 130"/>
    <w:qFormat/>
    <w:rPr>
      <w:rFonts w:ascii="Calibri" w:hAnsi="Calibri" w:eastAsia="Calibri" w:cs="Arial"/>
      <w:sz w:val="20"/>
      <w:szCs w:val="20"/>
    </w:rPr>
  </w:style>
  <w:style w:type="character" w:styleId="ListLabel131">
    <w:name w:val="ListLabel 131"/>
    <w:qFormat/>
    <w:rPr>
      <w:rFonts w:ascii="Calibri" w:hAnsi="Calibri" w:eastAsia="Calibri" w:cs="Arial"/>
      <w:sz w:val="20"/>
      <w:szCs w:val="20"/>
      <w:lang w:eastAsia="ar-SA"/>
    </w:rPr>
  </w:style>
  <w:style w:type="character" w:styleId="ListLabel132">
    <w:name w:val="ListLabel 132"/>
    <w:qFormat/>
    <w:rPr>
      <w:rFonts w:ascii="Calibri" w:hAnsi="Calibri"/>
      <w:color w:val="000000"/>
      <w:sz w:val="20"/>
      <w:szCs w:val="20"/>
    </w:rPr>
  </w:style>
  <w:style w:type="character" w:styleId="ListLabel133">
    <w:name w:val="ListLabel 133"/>
    <w:qFormat/>
    <w:rPr>
      <w:rFonts w:ascii="Arial" w:hAnsi="Arial"/>
      <w:b/>
    </w:rPr>
  </w:style>
  <w:style w:type="character" w:styleId="ListLabel134">
    <w:name w:val="ListLabel 134"/>
    <w:qFormat/>
    <w:rPr>
      <w:b/>
      <w:i w:val="false"/>
      <w:iCs/>
    </w:rPr>
  </w:style>
  <w:style w:type="character" w:styleId="ListLabel135">
    <w:name w:val="ListLabel 135"/>
    <w:qFormat/>
    <w:rPr>
      <w:rFonts w:cs="Arial"/>
      <w:b/>
      <w:i w:val="false"/>
      <w:iCs/>
      <w:color w:val="auto"/>
    </w:rPr>
  </w:style>
  <w:style w:type="character" w:styleId="ListLabel136">
    <w:name w:val="ListLabel 136"/>
    <w:qFormat/>
    <w:rPr>
      <w:b/>
    </w:rPr>
  </w:style>
  <w:style w:type="character" w:styleId="ListLabel137">
    <w:name w:val="ListLabel 137"/>
    <w:qFormat/>
    <w:rPr>
      <w:b/>
      <w:sz w:val="20"/>
    </w:rPr>
  </w:style>
  <w:style w:type="character" w:styleId="ListLabel138">
    <w:name w:val="ListLabel 138"/>
    <w:qFormat/>
    <w:rPr>
      <w:b/>
    </w:rPr>
  </w:style>
  <w:style w:type="character" w:styleId="ListLabel139">
    <w:name w:val="ListLabel 139"/>
    <w:qFormat/>
    <w:rPr>
      <w:b w:val="false"/>
      <w:i w:val="false"/>
      <w:iCs/>
    </w:rPr>
  </w:style>
  <w:style w:type="character" w:styleId="ListLabel140">
    <w:name w:val="ListLabel 140"/>
    <w:qFormat/>
    <w:rPr>
      <w:rFonts w:cs="Arial"/>
      <w:b w:val="false"/>
      <w:i w:val="false"/>
      <w:iCs/>
      <w:color w:val="auto"/>
    </w:rPr>
  </w:style>
  <w:style w:type="character" w:styleId="ListLabel141">
    <w:name w:val="ListLabel 141"/>
    <w:qFormat/>
    <w:rPr>
      <w:b/>
    </w:rPr>
  </w:style>
  <w:style w:type="character" w:styleId="ListLabel142">
    <w:name w:val="ListLabel 142"/>
    <w:qFormat/>
    <w:rPr>
      <w:b w:val="false"/>
      <w:i w:val="false"/>
      <w:iCs/>
    </w:rPr>
  </w:style>
  <w:style w:type="character" w:styleId="ListLabel143">
    <w:name w:val="ListLabel 143"/>
    <w:qFormat/>
    <w:rPr>
      <w:b w:val="false"/>
      <w:i w:val="false"/>
      <w:iCs/>
      <w:color w:val="auto"/>
    </w:rPr>
  </w:style>
  <w:style w:type="character" w:styleId="ListLabel144">
    <w:name w:val="ListLabel 144"/>
    <w:qFormat/>
    <w:rPr>
      <w:rFonts w:ascii="Calibri" w:hAnsi="Calibri" w:eastAsia="Calibri" w:cs="Arial"/>
      <w:sz w:val="20"/>
      <w:szCs w:val="20"/>
    </w:rPr>
  </w:style>
  <w:style w:type="character" w:styleId="ListLabel145">
    <w:name w:val="ListLabel 145"/>
    <w:qFormat/>
    <w:rPr>
      <w:rFonts w:ascii="Calibri" w:hAnsi="Calibri" w:eastAsia="Calibri" w:cs="Arial"/>
      <w:sz w:val="20"/>
      <w:szCs w:val="20"/>
      <w:lang w:eastAsia="ar-SA"/>
    </w:rPr>
  </w:style>
  <w:style w:type="character" w:styleId="ListLabel146">
    <w:name w:val="ListLabel 146"/>
    <w:qFormat/>
    <w:rPr>
      <w:rFonts w:ascii="Calibri" w:hAnsi="Calibri"/>
      <w:color w:val="000000"/>
      <w:sz w:val="20"/>
      <w:szCs w:val="20"/>
    </w:rPr>
  </w:style>
  <w:style w:type="character" w:styleId="ListLabel147">
    <w:name w:val="ListLabel 147"/>
    <w:qFormat/>
    <w:rPr>
      <w:rFonts w:ascii="Arial" w:hAnsi="Arial"/>
      <w:b/>
    </w:rPr>
  </w:style>
  <w:style w:type="character" w:styleId="ListLabel148">
    <w:name w:val="ListLabel 148"/>
    <w:qFormat/>
    <w:rPr>
      <w:b/>
      <w:i w:val="false"/>
      <w:iCs/>
    </w:rPr>
  </w:style>
  <w:style w:type="character" w:styleId="ListLabel149">
    <w:name w:val="ListLabel 149"/>
    <w:qFormat/>
    <w:rPr>
      <w:rFonts w:cs="Arial"/>
      <w:b/>
      <w:i w:val="false"/>
      <w:iCs/>
      <w:color w:val="auto"/>
    </w:rPr>
  </w:style>
  <w:style w:type="character" w:styleId="ListLabel150">
    <w:name w:val="ListLabel 150"/>
    <w:qFormat/>
    <w:rPr>
      <w:b/>
    </w:rPr>
  </w:style>
  <w:style w:type="character" w:styleId="ListLabel151">
    <w:name w:val="ListLabel 151"/>
    <w:qFormat/>
    <w:rPr>
      <w:b/>
      <w:sz w:val="20"/>
    </w:rPr>
  </w:style>
  <w:style w:type="character" w:styleId="ListLabel152">
    <w:name w:val="ListLabel 152"/>
    <w:qFormat/>
    <w:rPr>
      <w:b/>
    </w:rPr>
  </w:style>
  <w:style w:type="character" w:styleId="ListLabel153">
    <w:name w:val="ListLabel 153"/>
    <w:qFormat/>
    <w:rPr>
      <w:b w:val="false"/>
      <w:i w:val="false"/>
      <w:iCs/>
    </w:rPr>
  </w:style>
  <w:style w:type="character" w:styleId="ListLabel154">
    <w:name w:val="ListLabel 154"/>
    <w:qFormat/>
    <w:rPr>
      <w:rFonts w:cs="Arial"/>
      <w:b w:val="false"/>
      <w:i w:val="false"/>
      <w:iCs/>
      <w:color w:val="auto"/>
    </w:rPr>
  </w:style>
  <w:style w:type="character" w:styleId="ListLabel155">
    <w:name w:val="ListLabel 155"/>
    <w:qFormat/>
    <w:rPr>
      <w:b/>
    </w:rPr>
  </w:style>
  <w:style w:type="character" w:styleId="ListLabel156">
    <w:name w:val="ListLabel 156"/>
    <w:qFormat/>
    <w:rPr>
      <w:b w:val="false"/>
      <w:i w:val="false"/>
      <w:iCs/>
    </w:rPr>
  </w:style>
  <w:style w:type="character" w:styleId="ListLabel157">
    <w:name w:val="ListLabel 157"/>
    <w:qFormat/>
    <w:rPr>
      <w:b w:val="false"/>
      <w:i w:val="false"/>
      <w:iCs/>
      <w:color w:val="auto"/>
    </w:rPr>
  </w:style>
  <w:style w:type="character" w:styleId="ListLabel158">
    <w:name w:val="ListLabel 158"/>
    <w:qFormat/>
    <w:rPr>
      <w:rFonts w:ascii="Calibri" w:hAnsi="Calibri" w:eastAsia="Calibri" w:cs="Arial"/>
      <w:sz w:val="20"/>
      <w:szCs w:val="20"/>
    </w:rPr>
  </w:style>
  <w:style w:type="character" w:styleId="ListLabel159">
    <w:name w:val="ListLabel 159"/>
    <w:qFormat/>
    <w:rPr>
      <w:rFonts w:ascii="Calibri" w:hAnsi="Calibri" w:eastAsia="Calibri" w:cs="Arial"/>
      <w:sz w:val="20"/>
      <w:szCs w:val="20"/>
      <w:lang w:eastAsia="ar-SA"/>
    </w:rPr>
  </w:style>
  <w:style w:type="character" w:styleId="ListLabel160">
    <w:name w:val="ListLabel 160"/>
    <w:qFormat/>
    <w:rPr>
      <w:rFonts w:ascii="Calibri" w:hAnsi="Calibri"/>
      <w:color w:val="000000"/>
      <w:sz w:val="20"/>
      <w:szCs w:val="20"/>
    </w:rPr>
  </w:style>
  <w:style w:type="paragraph" w:styleId="Ttulo">
    <w:name w:val="Título"/>
    <w:basedOn w:val="Normal"/>
    <w:next w:val="Corpodetexto"/>
    <w:qFormat/>
    <w:pPr>
      <w:keepNext w:val="true"/>
      <w:spacing w:before="240" w:after="120"/>
    </w:pPr>
    <w:rPr>
      <w:rFonts w:ascii="Liberation Sans" w:hAnsi="Liberation Sans" w:eastAsia="Noto Sans CJK SC" w:cs="Lohit Devanagari"/>
      <w:sz w:val="28"/>
      <w:szCs w:val="28"/>
    </w:rPr>
  </w:style>
  <w:style w:type="paragraph" w:styleId="Corpodetexto">
    <w:name w:val="Body Text"/>
    <w:basedOn w:val="Normal"/>
    <w:pPr>
      <w:spacing w:lineRule="auto" w:line="276" w:before="0" w:after="140"/>
    </w:pPr>
    <w:rPr/>
  </w:style>
  <w:style w:type="paragraph" w:styleId="Lista">
    <w:name w:val="List"/>
    <w:basedOn w:val="Corpode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link w:val="citao2Char"/>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
    <w:name w:val="Header"/>
    <w:basedOn w:val="Normal"/>
    <w:link w:val="CabealhoChar"/>
    <w:uiPriority w:val="99"/>
    <w:unhideWhenUsed/>
    <w:rsid w:val="00805244"/>
    <w:pPr>
      <w:tabs>
        <w:tab w:val="center" w:pos="4252" w:leader="none"/>
        <w:tab w:val="right" w:pos="8504" w:leader="none"/>
      </w:tabs>
    </w:pPr>
    <w:rPr/>
  </w:style>
  <w:style w:type="paragraph" w:styleId="Rodap">
    <w:name w:val="Footer"/>
    <w:basedOn w:val="Normal"/>
    <w:link w:val="RodapChar"/>
    <w:uiPriority w:val="99"/>
    <w:unhideWhenUsed/>
    <w:rsid w:val="00805244"/>
    <w:pPr>
      <w:tabs>
        <w:tab w:val="center" w:pos="4252" w:leader="none"/>
        <w:tab w:val="right" w:pos="8504" w:leader="none"/>
      </w:tabs>
    </w:pPr>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NormalWeb">
    <w:name w:val="Normal (Web)"/>
    <w:basedOn w:val="Normal"/>
    <w:qFormat/>
    <w:pPr>
      <w:spacing w:beforeAutospacing="1" w:afterAutospacing="1"/>
    </w:pPr>
    <w:rPr>
      <w:rFonts w:ascii="Times New Roman" w:hAnsi="Times New Roman" w:cs="Times New Roman"/>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2f5eff"/>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image" Target="media/image2.png"/><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Application>LibreOffice/6.0.7.3$Linux_X86_64 LibreOffice_project/00m0$Build-3</Application>
  <Pages>12</Pages>
  <Words>4854</Words>
  <Characters>27718</Characters>
  <CharactersWithSpaces>32205</CharactersWithSpaces>
  <Paragraphs>237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2021-08-05T16:35:00Z</dcterms:created>
  <dc:creator>Hugo Sales</dc:creator>
  <dc:description/>
  <dc:language>pt-BR</dc:language>
  <cp:lastModifiedBy/>
  <cp:lastPrinted>2021-10-05T09:04:10Z</cp:lastPrinted>
  <dcterms:modified xsi:type="dcterms:W3CDTF">2021-10-05T09:39:19Z</dcterms:modified>
  <cp:revision>44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